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2766МБ-20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"ПРОДМИКС"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ГОЛОДНЕР КОСТЯНТИН ЕДУАРДОВИЧ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"ПРОДМИКС"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42421685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88000, Закарпатська обл., місто Ужгород, ВУЛИЦЯ БОГОМОЛЬЦЯ, будинок 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0951778980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UA223281680000000026002333271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ПАО «МТБ БАНК»,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328168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