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2769МБ-20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10.06.2020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Резалт Украина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Жолинский Александр Викторович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Резалт Украина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40219623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Сагайдачного 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+380674024882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26005924439550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АБ «УКРГАЗБАНК»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320478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402196226564</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