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2778МБ-20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16.07.2020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Приватне мале підприємство "АЛЕКО"</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Конопелько Георгій Олексійович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Приватне мале підприємство "АЛЕКО"</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20300299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51230,  Дніпропетровська область, Новомосковський р-н, с. Голубівка, вул.Миру, 18.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+380675674797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 023006140000026006000006471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"КРЕДІ АГРІКОЛЬ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300614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203002904239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200038645, Платник податків на загальних підставах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