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«БКС-ТРЕЙДІНГ»</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Грєбєннікова Аріна Болдхояговича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«БКС-ТРЕЙДІНГ»</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33597970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04080, м. Київ, вул. Кирилівська, 69 В</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(44) 494-45-26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66 380526 0000026002001087956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«КБ «ГЛОБУС», м.Київ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335979710201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