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2788МБ-20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24.08.2020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"ЕКСПЕРТ-ВАЙН.КОМ"</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МІРОШНІЧЕНКО РОСТИСЛАВ АНАТОЛІЙОВИЧ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"ЕКСПЕРТ-ВАЙН.КОМ"</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43711537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Шевченківський район, вул.Січових Стрільців, 21 м.Київ 4053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+380672084068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IBAN UA73 3808 0500 0000 0026 0006 9363 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Акціонерне товариство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300335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437115310168</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