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30.08.2020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Івакін Вячеслав Володимирович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 Івакін Вячеслав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Івакін Вячеслав Володимирович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14360570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UA 61000 Харкiвська Харкiв Гагарiна д.72 кв.116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0686153355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UA393515330000026008052215507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ХАРКIВСЬКЕ ГРУ АТ КБ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2726408074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нет</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