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«Промсервіс» (ТОВ «Промсервіс»)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Іов Сергій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«Промсервіс» (ТОВ «Промсервіс»)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 22820979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15502, Чернігівська обл., Чернігівський р-н, с.Новоселівка, вул. Шевченка, 20Н.</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Тел.: (0462) 65-15-80Факс: (0462) 65-15-30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2600202649065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«Кредобанк»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325365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228209725265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№АОО 103842</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