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2802МБ-20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"АКВА ФУДЗ"</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ДАЄВА ОЛЕНА ДМИТРІВНА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"АКВА ФУДЗ"</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40179984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01001, місто Київ, ВУЛИЦЯ ХРЕЩАТИК, БУД.154  ВУЛИЦЯ ЗАНЬКОВЕЦЬКОЇ, БУД. 154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+380444967460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UA803071230000026001010377956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"БАНК ВОСТОК"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307123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401799826558</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