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ДАЦЕНКО ВОЛОДИМИР ПАВЛОВИЧ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Даценко В. П.</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ДАЦЕНКО ВОЛОДИМИР ПАВЛОВИЧ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3091212196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02232, м. Київ, вул Марини Цвєтаєвої, буд. 8-Б, кв. 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+380442280218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UA253218420000026003053063086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3091212196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Платник Єдиного Податку</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