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"Дуфрі 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Гельмут Зігхард Рашдорф</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"Дуфрі 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43438092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01014, м.Київ, вул. Миколи Соловцова, буд.2, оф. 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+380673137337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UA223808050000000026000673112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434380926550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