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17.12.2020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"ТДЛА"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Шульга Андрій Володимирович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"ТДЛА"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44149974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Євгена Коновальця, 31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(095) 1281793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713348510000000026008132480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441499726555</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