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2832МБ-20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акціонерне товаривство "Міжнародна акціонерна авіаційна компанія "УРГА"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Галінський Олександр Іванович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акціонерне товаривство "Міжнародна акціонерна авіаційна компанія "УРГА"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14372024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25015, Кіровоградська обл., м. Кропивницький, вул. Короленка, буд. 1-А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0522 35-35-04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IBAN UA343282090000026005010019119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Акціонерний банк «Південний» 65059 м.Одеса, вул. Краснова 61</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328209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143720211230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100311205</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