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2834МБ-20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20.01.2021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“ЧУДОВІ НАПОЇ”</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Іванців Р. Т.</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“ЧУДОВІ НАПОЇ”</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40157185</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Україна, 08132, м. Вишневе, вул. Київська, 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(073) 003 16 91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 63 325365 0000002600101690896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«Кредобанк»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325365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401571810131</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1510134501707</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