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Гасанов Насраддін Беюкага огли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Гасанов Насраддін Беюкага огли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Гасанов Насраддін Беюкага огли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351533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Вулиця Академіка Павлова 140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+380991870656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UA09 351533 00000 26003052127656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 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3494205237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Отсутствует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