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2841МБ-21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26.02.2021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ПП "МИРОСЛАВ"</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Кісіленко Віталій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ПП "МИРОСЛАВ"</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32157903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03049, м.Київ, вул. Богданівська, 7 А, прим. 1П</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044 374 33 53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UA483808050000000026001472118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«Райффайзен Банк АВАЛЬ»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321579026521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