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2849МБ-21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19.03.2021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"САКС-ЕКСПО"</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Удод Володимир Андрійович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"САКС-ЕКСПО"</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41764849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01024, м. Київ, вул. Пилипа Орлика, буд. 1612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+380674086416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UA063204780000026001924431961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АБ "УКРГАЗБАНК"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320478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