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2851МБ-21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14.04.2021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"ІРКАТЕК-2020"</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Левади Ю. І.</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"ІРКАТЕК-2020"</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43925281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07443, Київська обл., Броварський р-н, смт. Калинівка, вул. Ігорєва,5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+380507771089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IBAN UA373005280000026000000005858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 АТ "ОТП Банк"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439252810062</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