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2861МБ-21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24.06.2021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"ТИ БЕЙ"</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Едуард Вайноріс</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"ТИ БЕЙ"</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37744973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08203, Київська обл., м. Ірпінь, вул. Северинівська, буд. 105-Б, приміщення 4К</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(044) 2291122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UA843052990000026009006703026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305199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377449726518</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200108522</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