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2864МБ-21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30.06.2021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"Разумовський А. К."</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Разумовського Артема Костянтиновича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"Разумовський А. К."</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3453208253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01001, м. Київ, вул. Феодосійська б.4 кв. 103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+380980165163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UA293052990000026006026213340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СТОЛИЧНА ФІЛІЯ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380269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