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2869МБ-21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28.07.2021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"ТРЕЙДІНГ ЕНД ДЕЛІВЕРІ"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Директора Пирогова М. І.</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"ТРЕЙДІНГ ЕНД ДЕЛІВЕРІ"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42940293</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04053, м. Київ, Вознесенський узвіз, буд.23А, оф.20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+380973899874</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рр UA973052990000026007006702278</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В АТ КБ «ПРИВАТБАНК»</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429402926591</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Витяг ПДВ № 1926594501394</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