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2872МБ-21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17.08.2021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"Фешн Інтегрейтед"</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Стороженко Марини Миколаївни</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"Фешн Інтегрейтед"</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41229454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 м.Київ, вул. Хорива, буд. 43, офіс 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+380970618083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UA883206490000026005052717736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ІПН 412294526565</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здійснює господарську діяльність без застосування печатки, згідно ст. 58-1 Господарського кодексу України.</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