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2873МБ-21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18.08.2021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"МІКРОН-СИСТЕМА"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Закієвої Олени Станіславовни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"МІКРОН-СИСТЕМА"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31813810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03148, м.Київ, вул. Картвелішвілі, буд.72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+380936463254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UA583206490000026005052643101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Філія "Розрахунковий центр"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