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2892МБ-21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13.10.2021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"МАСАР ГРУП"</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РЕМІННА ЛЮДМИЛА ПЕТРІВНА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"МАСАР ГРУП"</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43654411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65014, Одеська обл., місто Одеса, Приморський район, БУЛЬВАР ЛІДЕРСОВСЬКИЙ, будинок 5, офіс 167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+38 067 477-35-74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453282090000026009000011101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АБ «Південний» г. Одеса, вул. Краснова 61</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328209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436544115536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436544115536</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