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2901МБ-21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09.11.2021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"ОС "ЄВРОСТАНДАРТ"</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Горлов Руслан Володимирович </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"ОС "ЄВРОСТАНДАРТ"</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36911689</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61070, м. Харків, вул. Академіка Проскури 1, корпус 12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+380577631888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UA323133990000026008055731716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313399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369116808278</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