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2906МБ-21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 ЛОТОС БНК"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Панченко Володимир Іванович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 ЛОТОС БНК"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43539868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01101 Київ вул. Велика Житовирська ,21 оф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+380676214590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363348510000000026009112034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у банку ПАТ КБ "ПУМБ",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363348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