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2908МБ-21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22.11.2021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«РЕНКЛОД ЛТД»</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Комерційний Директор Тихий Євген Миколайович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«РЕНКЛОД ЛТД»</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35945963</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 Київ, вул. Івана Франка, будинок 18А</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(044)599-62-92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UA583005280000026006455028202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В АТ  «ОТП 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300528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359459626592</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100126500</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