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2915МБ-21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15.12.2021</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"КРАНИ УКРАЇНИ"</w:t>
      </w:r>
      <w:r>
        <w:rPr>
          <w:rFonts w:ascii="Times New Roman" w:hAnsi="Times New Roman"/>
          <w:sz w:val="20"/>
          <w:szCs w:val="20"/>
        </w:rPr>
        <w:t xml:space="preserve">, в особі директора </w:t>
      </w:r>
      <w:r>
        <w:rPr>
          <w:rFonts w:ascii="Times New Roman" w:hAnsi="Times New Roman"/>
          <w:b/>
          <w:bCs/>
          <w:sz w:val="20"/>
          <w:szCs w:val="20"/>
        </w:rPr>
        <w:t xml:space="preserve">Цигарін Олексанбр Дмитрович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"КРАНИ УКРАЇНИ"</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0040489427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67806, Одеська обл., Овідіопольський р-н, с.м.т. Авангард, вул. Теплична, 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+380487955359</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UA633282090000026005010050413</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Акціонерний банк "Південний"</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328209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404894215211</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