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2922МБ-21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22.01.2022</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«Дженікс» (ТОВ «Дженікс»)</w:t>
      </w:r>
      <w:r>
        <w:rPr>
          <w:rFonts w:ascii="Times New Roman" w:hAnsi="Times New Roman"/>
          <w:sz w:val="20"/>
          <w:szCs w:val="20"/>
        </w:rPr>
        <w:t xml:space="preserve">, в особі директора </w:t>
      </w:r>
      <w:r>
        <w:rPr>
          <w:rFonts w:ascii="Times New Roman" w:hAnsi="Times New Roman"/>
          <w:b/>
          <w:bCs/>
          <w:sz w:val="20"/>
          <w:szCs w:val="20"/>
        </w:rPr>
        <w:t xml:space="preserve">Чернати Марії Геннадіївни</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«Дженікс» (ТОВ «Дженікс»)</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44437126</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01135, місто Київ, вул.Глібова, будинок 7</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 73 162-76-75, +38 073 406-21-12</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UA363052990000026004040121142</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