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3021МБ-23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"АРТАІР"</w:t>
      </w:r>
      <w:r>
        <w:rPr>
          <w:rFonts w:ascii="Times New Roman" w:hAnsi="Times New Roman"/>
          <w:sz w:val="20"/>
          <w:szCs w:val="20"/>
        </w:rPr>
        <w:t xml:space="preserve">, в особі директора </w:t>
      </w:r>
      <w:r>
        <w:rPr>
          <w:rFonts w:ascii="Times New Roman" w:hAnsi="Times New Roman"/>
          <w:b/>
          <w:bCs/>
          <w:sz w:val="20"/>
          <w:szCs w:val="20"/>
        </w:rPr>
        <w:t xml:space="preserve">Барни Федора Петровича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"АРТАІР"</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44415668</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03148, м.Київ, вул.Верховинця Василя, 10</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+380671895024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UA423005280000026001000016307</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