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3029МБ-23</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23.11.2023</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"Олеандр Груп"</w:t>
      </w:r>
      <w:r>
        <w:rPr>
          <w:rFonts w:ascii="Times New Roman" w:hAnsi="Times New Roman"/>
          <w:sz w:val="20"/>
          <w:szCs w:val="20"/>
        </w:rPr>
        <w:t xml:space="preserve">, в особі директора </w:t>
      </w:r>
      <w:r>
        <w:rPr>
          <w:rFonts w:ascii="Times New Roman" w:hAnsi="Times New Roman"/>
          <w:b/>
          <w:bCs/>
          <w:sz w:val="20"/>
          <w:szCs w:val="20"/>
        </w:rPr>
        <w:t xml:space="preserve">Литвиненко Олег Іванович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"Олеандр Груп"</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38278407</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 Харків, Гімназійна набережна 16, офіс 402</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(057)781-72-47</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 84 328209 0000026000010050690</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АБ «Південний»</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328209</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382784020373</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2020384500004</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