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underlying data architecture of Diamond Miner—specifically its Temporal Knowledge Graph encompassing structural logic, sequence dependencies, and absolute text provenance—the system is primed to deliver highly advanced reporting.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maximize productivity, reporting should move away from static, historical summaries and embrace Action-Centric Dashboard Design (ACDD), which builds interfaces purpose-built to facilitate specific end-user decisions and workflows.[1]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breakdown of the most productive, high-impact reporting available from your system, categorized by the specific user personas that consume this data.[2, 3]</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Strategic Reporting (For the C-Suite &amp; Executives)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Executive users do not need granular task data; they require macro-level visibility into enterprise risk, long-term trends, and strategic alignment.[2, 4]</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Systemic Vulnerability &amp; Single-Point-of-Failure Analysis:</w:t>
      </w:r>
      <w:r w:rsidDel="00000000" w:rsidR="00000000" w:rsidRPr="00000000">
        <w:rPr>
          <w:rtl w:val="0"/>
        </w:rPr>
        <w:t xml:space="preserve"> By applying graph mathematics like Eigenvector Centrality or PageRank to your SQLite edges table, the system can identify the most critical "hub" nodes in a strategy. If a node has a high degree of dependencies relying on it, a report can flag it as a catastrophic single point of failure, enabling executives to proactively diversify resources.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Risk Cascade Index:</w:t>
      </w:r>
      <w:r w:rsidDel="00000000" w:rsidR="00000000" w:rsidRPr="00000000">
        <w:rPr>
          <w:rtl w:val="0"/>
        </w:rPr>
        <w:t xml:space="preserve"> Diamond Miner can calculate a composite "Systemic Vulnerability Index". If a specific node fails, this report calculates the "cascade size" and "cascade depth" (how many subsequent steps are derailed), allowing leadership to instantly quantify the total blast radius of a localized delay.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Goal-Question-Metric (GQM) Alignment:</w:t>
      </w:r>
      <w:r w:rsidDel="00000000" w:rsidR="00000000" w:rsidRPr="00000000">
        <w:rPr>
          <w:rtl w:val="0"/>
        </w:rPr>
        <w:t xml:space="preserve"> This framework ensures all operational data ties back to a core objective.[5, 6] A report can trace the graph from bottom-up: if a cluster of operational nodes (e.g., "Data Extraction") does not ultimately map via an edge to a strategic goal node (e.g., "Cloud Migration"), it highlights wasted capital and strategic misalignment.[5, 6]</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Tactical Reporting (For Middle Management &amp; Project Leaders)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Middle managers need to identify trends, coordinate across teams, and balance workloads dynamically.[4] They require tools to forecast capacity and resolve bottlenecks before they halt production.[7]</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Negative Slack &amp; Schedule Collapse Forecasting:</w:t>
      </w:r>
      <w:r w:rsidDel="00000000" w:rsidR="00000000" w:rsidRPr="00000000">
        <w:rPr>
          <w:rtl w:val="0"/>
        </w:rPr>
        <w:t xml:space="preserve"> Utilizing the temporal_metadata table, reports can isolate "Chronological Friction" where a successor task is mathematically forced to begin before its predecessor concludes. This transforms the tool into a predictive risk simulator that highlights impossible deadlines.[7]</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Bottleneck Triage:</w:t>
      </w:r>
      <w:r w:rsidDel="00000000" w:rsidR="00000000" w:rsidRPr="00000000">
        <w:rPr>
          <w:rtl w:val="0"/>
        </w:rPr>
        <w:t xml:space="preserve"> Bottlenecks frequently shift as projects evolve.[8] By mapping the concentration of "Red" (structural) and "Yellow" (temporal) friction lines, managers receive a prioritized hit-list of the most severe workflow blockages, enabling them to reallocate resources instantly.[9, 8]</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ITDO (If Trigger, Diagnose and Optimise) Dashboard:</w:t>
      </w:r>
      <w:r w:rsidDel="00000000" w:rsidR="00000000" w:rsidRPr="00000000">
        <w:rPr>
          <w:rtl w:val="0"/>
        </w:rPr>
        <w:t xml:space="preserve"> Instead of waiting for a manager to find a problem, the system uses the ITDO framework to generate automated action protocols.[10] If a strategy document yields more than 5 critical paradoxes in a single phase, the report automatically triggers a diagnostic review requirement.[10]</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Operational Reporting (For Individual Contributors &amp; Analysts)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contributors need highly focused, real-time data to execute daily workflows without cognitive overload.[3, 11]</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Friction Resolution Queue:</w:t>
      </w:r>
      <w:r w:rsidDel="00000000" w:rsidR="00000000" w:rsidRPr="00000000">
        <w:rPr>
          <w:rtl w:val="0"/>
        </w:rPr>
        <w:t xml:space="preserve"> A prioritized, Kanban-style report of unresolved paradoxes. Analysts can click into each queue item, bringing up Diamond Miner's Provenance Split-Screen to view the exact bounding-box text that generated the error, allowing for rapid, context-rich problem solving.</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 Ambiguity &amp; Trust Scores:</w:t>
      </w:r>
      <w:r w:rsidDel="00000000" w:rsidR="00000000" w:rsidRPr="00000000">
        <w:rPr>
          <w:rtl w:val="0"/>
        </w:rPr>
        <w:t xml:space="preserve"> By leveraging the system's tracking of AI performance, the system can generate a "Trust Debt" report.[12] This measures the ratio of clean logic to contradictory logic within a specific uploaded document. If a strategy document scores poorly on semantic consistency, the operations team knows the document requires a human rewrite before execution can safely begin.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structuring your reporting around these specific analytical frameworks and personas, Diamond Miner transitions from a powerful document analysis tool into a comprehensive, predictive enterprise governance platform.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determine the most efficient development plan for Diamond Miner's reporting suite, we must evaluate potential reports across two axes: Business Value (how much risk or cost it saves the user) and Development Complexity (how easily we can extract it from our existing SQLite and ChromaDB architecture).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Action-Centric Dashboard Design (ACDD) principles and the specific data topology we hold, here is the prioritized reporting roadmap, ordered from "Quick Wins" (Highest Value / Lowest Complexity) to "Advanced Strategic Analytics" (High Value / Higher Complexity).[1]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1: The "Quick Wins" (High Value, Low Complexity)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reports leverage the exact SQL queries and data structures we have already built. They require minimal backend changes and focus entirely on surfacing existing data to Operational and Tactical personas.[2, 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Friction Resolution Queue (The ITDO Dashboard)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Target Persona: Individual Contributors &amp; Analysts.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Business Value: Very High. This operationalizes the "If Trigger, Diagnose and Optimise" (ITDO) framework.[4] Instead of forcing users to hunt through a 3D graph, this provides a prioritized, Kanban-style list of every structural and chronological paradox the AI found.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Complexity: Very Low. We already generate this exact array (friction_lines) in the Orchestrator. The development merely requires building a standard HTML table/list view in the UI that triggers the Provenance Split-Screen when clicked.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Hub &amp; Spoke Vulnerability Report (Single Point of Failure)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Target Persona: Middle Management &amp; Risk Architects.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Business Value: High. This report uses graph analytics to find operational bottlenecks by identifying nodes with exceptionally high "in-degree" connections. If ten different rollout phases all require the "Legacy Database Migration" node, it is a catastrophic single point of failure.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Complexity: Low. This requires a very simple, zero-cost SQLite aggregate query (e.g., SELECT target_id, COUNT(*) FROM edges GROUP BY target_id ORDER BY COUNT(*) DESC).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Tactical Intelligence (High Value, Medium Complexity)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reports require building new UI visualization components (like Gantt charts or matrices) but rely on data we are already actively extracting.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Schedule Collapse Forecast (Negative Slack Tracker)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Target Persona: Project Managers.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Business Value: Very High. This allows managers to realistically forecast capacity and spot bottlenecks by identifying "Negative Slack".[5] It provides an immediate list of tasks that are mathematically scheduled to start before their required prerequisites finish.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Complexity: Medium. The backend SQLite query (get_chronological_friction) is already written. The complexity lies in the frontend: building a dynamic timeline or Gantt-style widget that plots the temporal_metadata start and end dates alongside the red/yellow warning indicators.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Dynamic Risk Assessment Matrix</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Target Persona: Compliance Officers &amp; Project Leads.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Business Value: High. Standard risk matrices plot the probability of a failure against the severity of its impact.[6, 7] Diamond Miner can auto-generate this.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Complexity: Medium. We would prompt the ContradictionHunterAgent to assign a 1-5 scalar score for "Severity" and "Probability" when it synthesizes a mitigation strategy. The UI then plots these scores on a standard 5x5 grid, instantly showing executives which paradoxes belong in the "Immediate Mitigation" quadrant.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Advanced Strategic Analytics (High Value, High Complexity)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reports target the C-Suite. They require advanced SQL recursive graph traversal and complex topological mathematics, but they deliver the ultimate paradigm-shifting insights.[8, 9]</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GQM (Goal-Question-Metric) Strategic Alignment Map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Target Persona: C-Suite Executives.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Business Value: Very High. The GQM framework ensures every operational task has a direct lineage to a strategic objective.[10, 11] This report exposes "Orphaned Initiatives"—clusters of tasks and dependencies in the graph that do not ultimately trace back to a core business goal. It instantly highlights wasted capital and scope creep.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Complexity: High. This requires writing recursive Common Table Expressions (CTEs) in SQLite to trace multi-hop paths from leaf nodes (daily tasks) all the way up to root nodes (corporate goals).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The Risk Cascade Index (Blast Radius Calculator)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Target Persona: Chief Operations Officers (COO) &amp; Risk Executives.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Business Value: High. Traditional risk analysis treats assets in isolation, ignoring how failures cascade across interdependent networks. If a user selects a specific node and asks, "What happens if this is delayed by 30 days?", this report calculates the total systemic vulnerability—including cascade size (total nodes affected) and cascade depth (how far down the chain the failure reaches).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Complexity: High. The backend must simulate a failure state, dynamically traverse the edges and temporal_metadata tables to calculate the domino effect, and push a massive, multi-layered "Impact Report" to the UI.</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Development Plan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engineering velocity and user adoption, the immediate development focus should be Phase 1 (The Friction Resolution Queue and The Hub &amp; Spoke Report).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building these two reports first, you immediately transform the raw 3D graph visualization into a traditional, highly actionable checklist that users already know how to consume, ensuring instant operational value while you build out the more complex predictive timelines in the background.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generate the high-impact reporting suite we just architected—specifically the Schedule Collapse Forecasts, Risk Cascades, and Hub &amp; Spoke Vulnerabilities—Diamond Miner requires documents that contain specific types of organizational data. Because our engine is built to extract geometric logic and temporal data, it thrives on documentation that dictates how a business operates, rather than just what a business is.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breakdown of the exact documents required to fuel the reporting engine, followed by the broader scope of what the system is technically capable of analyzing.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Documents Required to Support the Reporting Process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populate the dashboards with actionable intelligence, the ingested documents must contain three core ingredients: Entities (actors/systems), Dependencies (rules of engagement), and Timelines (milestones/durations).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fuel the specific reports we outlined, you should feed Diamond Miner: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Enterprise Strategy &amp; Transformation Roadmaps: Documents detailing corporate shifts (e.g., "Cloud Migration 2026" or "Post-Merger Integration Plan"). These feed the GQM Strategic Alignment Map by providing the high-level goals that operational tasks must mathematically connect to.[1, 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Project Charters &amp; Master Schedules: Detailed project narratives that outline phase gates, resource allocation, and deadlines. These are strictly required to feed the ChronosAgent and power the Schedule Collapse Forecast, as the AI needs relative or absolute dates to detect chronological friction.[3, 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Business Requirements Documents (BRDs) &amp; Service Level Agreements (SLAs): Documents that dictate rigid rules (e.g., "System A must maintain 99% uptime" or "Vendor B must deliver within 48 hours"). These rules are required to generate the Friction Resolution Queue, as they act as the "BLOCKS" or "REQUIRES" edges that the AI uses to find logical paradoxes.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Documentation the System is Capable of Analyzing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Technically speaking, your current ingestion pipeline uses a geometric parser (PyMuPDF) to read files, meaning the system is currently configured to analyze PDF documents.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cognitive standpoint, because the Deconstructor agent is prompted to extract a strict topology of REQUIRES, BLOCKS, PRODUCES, and CONTRADICTS relationships, the system is highly capable of analyzing any unstructured text that describes a complex, interconnected system.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Diamond Miner is exceptionally capable of analyzing: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IT &amp; Software Architecture Specifications: It can read microservice dependency manuals or database migration plans and instantly map the software architecture as a Knowledge Graph, identifying which legacy systems are single points of failure.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Supply Chain &amp; Logistics Manifests: It can ingest unstructured vendor contracts and routing plans, mapping the supply chain to find topological vulnerabilities and compliance risks before a disruption occurs.[5]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Regulatory &amp; Compliance Frameworks: Legal documents and regulatory filings are incredibly dense and often cross-reference themselves. Diamond Miner can parse these to track transparent data lineage, mapping how a specific operational policy might violate a stated regulatory constraint.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Standard Operating Procedures (SOPs): It can ingest training manuals and operational guidelines, breaking down human workflows to find logical dead-ends or contradictory instructions given to employees.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it is less effective: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engine is a deterministic logic parser with its creativity explicitly disabled, it is not capable of analyzing purely creative writing, abstract philosophical texts, or raw financial spreadsheets lacking narrative context. If a document does not contain cause-and-effect relationships or temporal sequences, Diamond Miner will simply output an empty graph.</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feeding the system dense, rule-based, and schedule-heavy PDFs, you give the multi-agent backend the exact fuel it needs to mine operational diamonds.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detailed technical specification for the Action-Centric Reporting Engine (v1.2).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high user adoption and immediate operational impact, this module strictly adheres to Action-Centric Dashboard Design (ACDD) principles. Instead of presenting a congested, monolithic interface with dozens of widgets, this reporting layer provides the absolute minimum amount of information necessary for the user to reach their goal rapidly.[1]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build the Phase 1 "Quick Wins" identified earlier: The Friction Resolution Queue and the Hub &amp; Spoke Vulnerability Report.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Specification: Action-Centric Reporting Engine (v1.2)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Architectural Objectives &amp; Frameworks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Operationalizing Action: The reporting module implements the ITDO (If Trigger, Diagnose and Optimise) framework.[2] Rather than just displaying data, every report item acts as a trigger that allows the user to immediately diagnose the root cause via the Provenance Split-Screen.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Topological Risk Detection: To find single points of failure, the engine utilizes graph centrality measures. Specifically, we will calculate the "In-Degree Centrality" of nodes to identify operational bottlenecks—tasks that a disproportionate amount of the project relies upon.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Backend Data Layer (core/vault.py Updates)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must add a new method to the HybridVault to calculate the Hub &amp; Spoke vulnerabilities. This uses a zero-cost SQLite aggregation query to count the dependencies pointing to each node.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def get_hub_vulnerabilities(self, limit: int = 10) -&gt; List]: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Calculates In-Degree Centrality to find single points of failure.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Identifies nodes that have the highest number of 'REQUIRES' or 'STARTS_AFTER' dependencies.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cursor = self.conn.cursor()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query =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SELECT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n.id,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n.name,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n.label,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COUNT(e.source_id) as dependency_count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FROM nodes 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JOIN edges e ON n.id = e.target_id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WHERE e.relationship IN ('REQUIRES', 'STARTS_AFTER')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GROUP BY n.id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ORDER BY dependency_count DESC</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LIMIT?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cursor.execute(query, (limit,))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[dict(row) for row in cursor.fetchall()]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API Routing Layer (api.py Updates)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expose two new read-only endpoints to deliver the reporting data to the Vanilla JS frontend.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@app.get("/api/v1/reports/friction-queue/{job_id}")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 def get_friction_queue(job_id: str):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Delivers the ITDO Operational Dashboard.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Pulls the verified structural and chronological paradoxes from the job store.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job_id not in JOB_STORE or "friction_lines" not in JOB_STORE[job_id]: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raise HTTPException(status_code=404, detail="Report data not yet available.")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{"friction_queue": JOB_STORE[job_id]["friction_lines"]}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@app.get("/api/v1/reports/bottlenecks/{document_id}")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 def get_bottlenecks(document_id: str):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Delivers the Hub &amp; Spoke Tactical Dashboard.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tenant_id = "local_user_01"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vault = HybridVault(tenant_id=tenant_id)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vulnerabilities = vault.get_hub_vulnerabilities(limit=5)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{"bottlenecks": vulnerabilities}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except Exception as 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raise HTTPException(status_code=500, detail=str(e))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Frontend UI Implementation (static/index.html Updates)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"Top Three" rule of ACDD—which dictates that the most critical, actionable metrics must be locked in the top-left quadrant and visible without scrolling [1]—we will add a slide-up "Executive Dashboard" panel to the WebGL canvas.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the HTML Structure: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Place this right below your timeline-container: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&lt;div id="reporting-dashboard"&gt;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class="dashboard-header"&gt;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&lt;h2&gt;Executive Intelligence Report&lt;/h2&gt;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&lt;button onclick="toggleDashboard()"&gt;Close&lt;/button&gt;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class="dashboard-grid"&gt;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class="report-card"&gt;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&lt;h3&gt;Top Systemic Bottlenecks (Hubs)&lt;/h3&gt;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 class="subtitle"&gt;Nodes with the highest degree of critical dependencies.&lt;/p&gt;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&lt;table id="bottleneck-table"&gt;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&lt;thead&gt;&lt;tr&gt;&lt;th&gt;Concept / Node&lt;/th&gt;&lt;th&gt;Inbound Dependencies&lt;/th&gt;&lt;/tr&gt;&lt;/thead&gt;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&lt;tbody id="bottleneck-body"&gt;&lt;/tbody&gt;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&lt;/table&gt;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 class="report-card"&gt;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&lt;h3&gt;Friction Resolution Queue&lt;/h3&gt;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 class="subtitle"&gt;Actionable paradoxes requiring immediate mitigation.&lt;/p&gt;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&lt;ul id="friction-list"&gt;&lt;/ul&gt;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&lt;/div&gt;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the JavaScript Fetch &amp; Render Logic:</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JavaScript function is called automatically as soon as the main 3D canvas finishes loading the job.</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 function loadReportingDashboard(jobId, documentId)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try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Fetch Tactical Bottlenecks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bottleneckRes = await fetch(`/api/v1/reports/bottlenecks/${documentId}`);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bottleneckData = await bottleneckRes.json();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tbody = document.getElementById('bottleneck-body');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tbody.innerHTML =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bottleneckData.bottlenecks.forEach(b =&gt;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Render a simple, high-visibility table row</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tbody.innerHTML += `&lt;tr&gt;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&lt;td style="color: #58a6ff; font-weight: bold;"&gt;${b.name}&lt;/td&gt;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&lt;td style="color: #ff7b72; text-align: center;"&gt;${b.dependency_count} Critical Links&lt;/td&gt;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&lt;/tr&gt;`;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Fetch Operational Friction Queue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queueRes = await fetch(`/api/v1/reports/friction-queue/${jobId}`);</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queueData = await queueRes.json();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list = document.getElementById('friction-list');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list.innerHTML =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queueData.friction_queue.forEach((f, index) =&gt;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frictionType = f.type === 'chronological'? 'Timeline Collapse' : 'Logic Paradox';</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const color = f.type === 'chronological'? '#d29922' : '#ff7b72';</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Each list item acts as an ITDO trigger, centering the 3D camera when clicked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list.innerHTML += `&lt;li onclick="Graph.cameraPosition({x: ${f.source.x}, y: ${f.source.y}, z: 300}, ${f.source}, 2000)" style="cursor: pointer; border-left: 3px solid ${color}; margin-bottom: 10px; padding: 10px; background: #0d1117;"&gt;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&lt;strong&gt;${frictionType}&lt;/strong&gt;: ${f.diamond.substring(0, 80)}...</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&lt;/li&gt;`;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catch (error)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console.error("Failed to load Executive Reports:", error);</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Wins of this Module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Contextual Actionability: When an analyst clicks an item in the Friction Resolution Queue, the Javascript fires Graph.cameraPosition(). This means reading the report directly controls the 3D visualization, physically flying the user through the knowledge graph to the exact point of failure.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Computational Efficiency: The Hub &amp; Spoke report requires zero LLM tokens. We are leveraging the structural groundwork we laid in Phase 1 to calculate cascade vulnerability purely through native relational mathematics.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detailed functional specification for the Diamond Miner Action-Centric Reporting Engine. While the technical specification defined the database queries and API routing, this functional specification defines system behaviors, user interactions, and the business value delivered to the end-user.</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Specification: Action-Centric Reporting Engine (v1.2)</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Product Overview and Philosophy</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Diamond Miner Reporting Engine abandons traditional, static data presentation in favor of Action-Centric Dashboard Design (ACDD).[1] The core philosophy is that every metric displayed must facilitate a specific workflow or decision, transitioning the application from a visualizer of historical data into a predictive, decision-support system.[2, 1]</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Target Personas and Consumption Profiles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reporting interface dynamically adjusts its level of granularity based on three distinct user personas, ensuring users only see data relevant to their sphere of influence.[3, 4]</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Individual Contributors / Analysts (Operational): Require near-real-time updates focused on immediate workflow blockages and task-level efficiency.[5]</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Project Managers (Tactical): Require medium-term trend analysis, cohort tracking, and root-cause diagnostic capabilities to balance workloads and adjust schedules.[6]</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C-Suite Executives (Strategic): Require highly distilled, macroeconomic views of enterprise health, focusing on long-term trends, target achievement, and systemic risk exposure.[3, 6]</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Core Functional Requirements (Feature Specifications)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1: The Friction Resolution Queue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 Operationalize paradox detection so analysts can execute immediate fixes.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Framework: Utilizes the If Trigger, Diagnose and Optimise (ITDO) framework.[7]</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System Behavior: The system compiles a Kanban-style list of all structural and chronological paradoxes identified by the AI.</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User Interaction: When a user clicks a queue item, the system automatically acts as a diagnostic trigger.[7] The 3D canvas flies the camera to the exact nodes involved, and the Provenance Panel opens to display the source text.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Outputs: A prioritized checklist of actions, preventing the user from having to manually hunt through the visual graph.</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2: Hub &amp; Spoke Bottleneck Analyzer</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 Identify systemic vulnerabilities and single points of failure within a strategy.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Framework: Applies graph centrality measures (such as in-degree centrality and eigenvector centrality) to the project dependency network.</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System Behavior: The system calculates which nodes have the highest concentration of incoming REQUIRES or STARTS_AFTER relationships.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User Interaction: Users view a ranked table of the top constraints.[8] Selecting a bottleneck node highlights all dependent downstream paths in the 3D canvas, visually demonstrating the "blast radius" if that specific task fails.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3: Schedule Collapse Forecaster</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 Predict chronological failures before they occur.</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Framework: Negative Slack detection within Temporal Knowledge Graphs.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System Behavior: The system continuously compares extracted start/end dates against structural dependencies. If a successor task is scheduled to begin before its mandatory predecessor concludes, it flags a timeline collapse.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User Interaction: Users interact with a "Time-Scrubber" slider at the bottom of the UI. Pushing the slider forward reveals future phases of the project, illuminating chronological friction lines (rendered in yellow) where the schedule mathematically breaks down.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4: Dynamic Risk Assessment Matrix</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 Standardize risk prioritization for compliance and leadership teams.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Framework: Automated Probability vs. Severity mapping.[9]</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System Behavior: During the synthesis phase, the AI assigns a scalar score (typically 1 to 5) to the probability and severity of each detected paradox.[9]</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User Interaction: The UI plots these scores on a standard 5x5 visual grid.[9] Users can instantly see which paradoxes fall into the critical "Immediate Mitigation" quadrant and click them to view the AI-generated workaround.</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5: Strategic Alignment Map</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 Ensure operational tasks align with executive strategy.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Framework: The Goal-Question-Metric (GQM) approach.[10, 11]</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System Behavior: The system traces the lineage of operational tasks upward to overarching corporate goals (e.g., "Increase Revenue by 20%").</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User Interaction: The dashboard flags "Orphaned Nodes"—clusters of project tasks that consume time and resources but do not logically connect to any defined strategic outcome, thereby highlighting scope creep and wasted capital.</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UI/UX Interaction Rules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guarantee the reporting module adheres to enterprise usability standards, the following interface rules are strictly enforced:</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"Top Three" Rule: The three most critical, actionable metrics must be locked in the top-left quadrant of the dashboard, visible entirely "above the fold" without requiring the user to scroll.[1]</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Cognitive Invisibility: Visualizations must be instantly decipherable. The system strictly utilizes bar graphs for proportions, line graphs for chronological trends, and the 3D network graph for dependency mapping, minimizing the mental energy required to decode the charts.[1]</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Contextual Linking: No metric can exist in a vacuum. Every data point on the dashboard must be hyperlinked to the spatial canvas, ensuring seamless transitions between abstract reporting and granular, document-level evidence.[5]</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