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FF214" w14:textId="77777777" w:rsidR="00814841" w:rsidRPr="00890D67" w:rsidRDefault="00814841" w:rsidP="00814841">
      <w:pPr>
        <w:spacing w:before="100" w:beforeAutospacing="1" w:after="100" w:afterAutospacing="1" w:line="240" w:lineRule="auto"/>
        <w:rPr>
          <w:rFonts w:eastAsia="Times New Roman" w:cstheme="minorHAnsi"/>
          <w:sz w:val="28"/>
          <w:szCs w:val="28"/>
          <w:u w:val="single"/>
          <w:lang w:eastAsia="en-IN"/>
        </w:rPr>
      </w:pPr>
      <w:r w:rsidRPr="00890D67">
        <w:rPr>
          <w:rFonts w:eastAsia="Times New Roman" w:cstheme="minorHAnsi"/>
          <w:b/>
          <w:bCs/>
          <w:sz w:val="28"/>
          <w:szCs w:val="28"/>
          <w:u w:val="single"/>
          <w:lang w:eastAsia="en-IN"/>
        </w:rPr>
        <w:t>Performance Monitoring Plan (PMP) for Azure Fraud Rules Model</w:t>
      </w:r>
    </w:p>
    <w:p w14:paraId="3F36DF34" w14:textId="77777777" w:rsidR="00814841" w:rsidRPr="0037378F" w:rsidRDefault="00814841" w:rsidP="00814841">
      <w:pPr>
        <w:spacing w:before="100" w:beforeAutospacing="1" w:after="100" w:afterAutospacing="1" w:line="240" w:lineRule="auto"/>
        <w:outlineLvl w:val="2"/>
        <w:rPr>
          <w:rFonts w:eastAsia="Times New Roman" w:cstheme="minorHAnsi"/>
          <w:b/>
          <w:bCs/>
          <w:sz w:val="27"/>
          <w:szCs w:val="27"/>
          <w:lang w:eastAsia="en-IN"/>
        </w:rPr>
      </w:pPr>
      <w:r w:rsidRPr="0037378F">
        <w:rPr>
          <w:rFonts w:eastAsia="Times New Roman" w:cstheme="minorHAnsi"/>
          <w:b/>
          <w:bCs/>
          <w:sz w:val="27"/>
          <w:szCs w:val="27"/>
          <w:lang w:eastAsia="en-IN"/>
        </w:rPr>
        <w:t>Overview</w:t>
      </w:r>
    </w:p>
    <w:p w14:paraId="371DA3FC" w14:textId="77777777" w:rsidR="00814841" w:rsidRPr="00AB5902" w:rsidRDefault="00814841" w:rsidP="00814841">
      <w:pPr>
        <w:spacing w:before="100" w:beforeAutospacing="1" w:after="100" w:afterAutospacing="1" w:line="240" w:lineRule="auto"/>
        <w:rPr>
          <w:rFonts w:eastAsia="Times New Roman" w:cstheme="minorHAnsi"/>
          <w:lang w:eastAsia="en-IN"/>
        </w:rPr>
      </w:pPr>
      <w:r w:rsidRPr="00AB5902">
        <w:rPr>
          <w:rFonts w:eastAsia="Times New Roman" w:cstheme="minorHAnsi"/>
          <w:lang w:eastAsia="en-IN"/>
        </w:rPr>
        <w:t>Azure Fraud Rules is an in-house built fraud rules engine designed for digital banking. It uses a rule-based approach (non-AI/ML) to classify transaction statuses into the following categories:</w:t>
      </w:r>
    </w:p>
    <w:p w14:paraId="0728C913" w14:textId="77777777" w:rsidR="00814841" w:rsidRPr="00AB5902" w:rsidRDefault="00814841" w:rsidP="00814841">
      <w:pPr>
        <w:numPr>
          <w:ilvl w:val="0"/>
          <w:numId w:val="1"/>
        </w:numPr>
        <w:spacing w:before="100" w:beforeAutospacing="1" w:after="100" w:afterAutospacing="1" w:line="240" w:lineRule="auto"/>
        <w:rPr>
          <w:rFonts w:eastAsia="Times New Roman" w:cstheme="minorHAnsi"/>
          <w:lang w:eastAsia="en-IN"/>
        </w:rPr>
      </w:pPr>
      <w:r w:rsidRPr="00AB5902">
        <w:rPr>
          <w:rFonts w:eastAsia="Times New Roman" w:cstheme="minorHAnsi"/>
          <w:b/>
          <w:bCs/>
          <w:lang w:eastAsia="en-IN"/>
        </w:rPr>
        <w:t>Green</w:t>
      </w:r>
      <w:r w:rsidRPr="00AB5902">
        <w:rPr>
          <w:rFonts w:eastAsia="Times New Roman" w:cstheme="minorHAnsi"/>
          <w:lang w:eastAsia="en-IN"/>
        </w:rPr>
        <w:t>: Safe transactions.</w:t>
      </w:r>
    </w:p>
    <w:p w14:paraId="42B69F2A" w14:textId="77777777" w:rsidR="00814841" w:rsidRPr="00AB5902" w:rsidRDefault="00814841" w:rsidP="00814841">
      <w:pPr>
        <w:numPr>
          <w:ilvl w:val="0"/>
          <w:numId w:val="1"/>
        </w:numPr>
        <w:spacing w:before="100" w:beforeAutospacing="1" w:after="100" w:afterAutospacing="1" w:line="240" w:lineRule="auto"/>
        <w:rPr>
          <w:rFonts w:eastAsia="Times New Roman" w:cstheme="minorHAnsi"/>
          <w:lang w:eastAsia="en-IN"/>
        </w:rPr>
      </w:pPr>
      <w:r w:rsidRPr="00AB5902">
        <w:rPr>
          <w:rFonts w:eastAsia="Times New Roman" w:cstheme="minorHAnsi"/>
          <w:b/>
          <w:bCs/>
          <w:lang w:eastAsia="en-IN"/>
        </w:rPr>
        <w:t>Yellow</w:t>
      </w:r>
      <w:r w:rsidRPr="00AB5902">
        <w:rPr>
          <w:rFonts w:eastAsia="Times New Roman" w:cstheme="minorHAnsi"/>
          <w:lang w:eastAsia="en-IN"/>
        </w:rPr>
        <w:t>: Transactions requiring additional review.</w:t>
      </w:r>
    </w:p>
    <w:p w14:paraId="7304F01D" w14:textId="77777777" w:rsidR="00814841" w:rsidRPr="00AB5902" w:rsidRDefault="00814841" w:rsidP="00814841">
      <w:pPr>
        <w:numPr>
          <w:ilvl w:val="0"/>
          <w:numId w:val="1"/>
        </w:numPr>
        <w:spacing w:before="100" w:beforeAutospacing="1" w:after="100" w:afterAutospacing="1" w:line="240" w:lineRule="auto"/>
        <w:rPr>
          <w:rFonts w:eastAsia="Times New Roman" w:cstheme="minorHAnsi"/>
          <w:lang w:eastAsia="en-IN"/>
        </w:rPr>
      </w:pPr>
      <w:r w:rsidRPr="00AB5902">
        <w:rPr>
          <w:rFonts w:eastAsia="Times New Roman" w:cstheme="minorHAnsi"/>
          <w:b/>
          <w:bCs/>
          <w:lang w:eastAsia="en-IN"/>
        </w:rPr>
        <w:t>Red Pending</w:t>
      </w:r>
      <w:r w:rsidRPr="00AB5902">
        <w:rPr>
          <w:rFonts w:eastAsia="Times New Roman" w:cstheme="minorHAnsi"/>
          <w:lang w:eastAsia="en-IN"/>
        </w:rPr>
        <w:t>: Transactions pending resolution.</w:t>
      </w:r>
    </w:p>
    <w:p w14:paraId="1F7C6AEB" w14:textId="77777777" w:rsidR="00814841" w:rsidRPr="00AB5902" w:rsidRDefault="00814841" w:rsidP="00814841">
      <w:pPr>
        <w:numPr>
          <w:ilvl w:val="0"/>
          <w:numId w:val="1"/>
        </w:numPr>
        <w:spacing w:before="100" w:beforeAutospacing="1" w:after="100" w:afterAutospacing="1" w:line="240" w:lineRule="auto"/>
        <w:rPr>
          <w:rFonts w:eastAsia="Times New Roman" w:cstheme="minorHAnsi"/>
          <w:lang w:eastAsia="en-IN"/>
        </w:rPr>
      </w:pPr>
      <w:r w:rsidRPr="00AB5902">
        <w:rPr>
          <w:rFonts w:eastAsia="Times New Roman" w:cstheme="minorHAnsi"/>
          <w:b/>
          <w:bCs/>
          <w:lang w:eastAsia="en-IN"/>
        </w:rPr>
        <w:t>Red</w:t>
      </w:r>
      <w:r w:rsidRPr="00AB5902">
        <w:rPr>
          <w:rFonts w:eastAsia="Times New Roman" w:cstheme="minorHAnsi"/>
          <w:lang w:eastAsia="en-IN"/>
        </w:rPr>
        <w:t>: High-risk transactions flagged as fraudulent.</w:t>
      </w:r>
    </w:p>
    <w:p w14:paraId="031E7FE2" w14:textId="3D1D7B77" w:rsidR="00814841" w:rsidRPr="00AB5902" w:rsidRDefault="00814841" w:rsidP="00814841">
      <w:pPr>
        <w:spacing w:before="100" w:beforeAutospacing="1" w:after="100" w:afterAutospacing="1" w:line="240" w:lineRule="auto"/>
        <w:rPr>
          <w:rFonts w:eastAsia="Times New Roman" w:cstheme="minorHAnsi"/>
          <w:lang w:eastAsia="en-IN"/>
        </w:rPr>
      </w:pPr>
      <w:r w:rsidRPr="00AB5902">
        <w:rPr>
          <w:rFonts w:eastAsia="Times New Roman" w:cstheme="minorHAnsi"/>
          <w:lang w:eastAsia="en-IN"/>
        </w:rPr>
        <w:t>This document outlines the performance monitoring framework, including metrics, thresholds, frequency, and escalation plans.</w:t>
      </w:r>
    </w:p>
    <w:p w14:paraId="1BD8487C" w14:textId="77777777" w:rsidR="00814841" w:rsidRDefault="00814841" w:rsidP="00814841">
      <w:pPr>
        <w:spacing w:before="100" w:beforeAutospacing="1" w:after="100" w:afterAutospacing="1" w:line="240" w:lineRule="auto"/>
        <w:outlineLvl w:val="2"/>
        <w:rPr>
          <w:rFonts w:eastAsia="Times New Roman" w:cstheme="minorHAnsi"/>
          <w:b/>
          <w:bCs/>
          <w:sz w:val="27"/>
          <w:szCs w:val="27"/>
          <w:lang w:eastAsia="en-IN"/>
        </w:rPr>
      </w:pPr>
      <w:r w:rsidRPr="0037378F">
        <w:rPr>
          <w:rFonts w:eastAsia="Times New Roman" w:cstheme="minorHAnsi"/>
          <w:b/>
          <w:bCs/>
          <w:sz w:val="27"/>
          <w:szCs w:val="27"/>
          <w:lang w:eastAsia="en-IN"/>
        </w:rPr>
        <w:t>Performance Monitoring Framework</w:t>
      </w:r>
    </w:p>
    <w:tbl>
      <w:tblPr>
        <w:tblStyle w:val="TableGrid"/>
        <w:tblW w:w="0" w:type="auto"/>
        <w:tblLook w:val="04A0" w:firstRow="1" w:lastRow="0" w:firstColumn="1" w:lastColumn="0" w:noHBand="0" w:noVBand="1"/>
      </w:tblPr>
      <w:tblGrid>
        <w:gridCol w:w="2830"/>
        <w:gridCol w:w="6186"/>
      </w:tblGrid>
      <w:tr w:rsidR="0037378F" w14:paraId="2E4D066E" w14:textId="77777777" w:rsidTr="0037378F">
        <w:trPr>
          <w:trHeight w:val="532"/>
        </w:trPr>
        <w:tc>
          <w:tcPr>
            <w:tcW w:w="2830" w:type="dxa"/>
            <w:vAlign w:val="center"/>
          </w:tcPr>
          <w:p w14:paraId="516CAE3C" w14:textId="03F1E3EE" w:rsidR="0037378F" w:rsidRDefault="0037378F" w:rsidP="0037378F">
            <w:pPr>
              <w:spacing w:before="100" w:beforeAutospacing="1" w:after="100" w:afterAutospacing="1"/>
              <w:outlineLvl w:val="2"/>
              <w:rPr>
                <w:rFonts w:eastAsia="Times New Roman" w:cstheme="minorHAnsi"/>
                <w:b/>
                <w:bCs/>
                <w:sz w:val="27"/>
                <w:szCs w:val="27"/>
                <w:lang w:eastAsia="en-IN"/>
              </w:rPr>
            </w:pPr>
            <w:r w:rsidRPr="0037378F">
              <w:rPr>
                <w:rFonts w:eastAsia="Times New Roman" w:cstheme="minorHAnsi"/>
                <w:b/>
                <w:bCs/>
                <w:sz w:val="24"/>
                <w:szCs w:val="24"/>
                <w:lang w:eastAsia="en-IN"/>
              </w:rPr>
              <w:t>Aspect</w:t>
            </w:r>
          </w:p>
        </w:tc>
        <w:tc>
          <w:tcPr>
            <w:tcW w:w="6186" w:type="dxa"/>
            <w:vAlign w:val="center"/>
          </w:tcPr>
          <w:p w14:paraId="516517C0" w14:textId="71C1E33F" w:rsidR="0037378F" w:rsidRDefault="0037378F" w:rsidP="0037378F">
            <w:pPr>
              <w:spacing w:before="100" w:beforeAutospacing="1" w:after="100" w:afterAutospacing="1"/>
              <w:outlineLvl w:val="2"/>
              <w:rPr>
                <w:rFonts w:eastAsia="Times New Roman" w:cstheme="minorHAnsi"/>
                <w:b/>
                <w:bCs/>
                <w:sz w:val="27"/>
                <w:szCs w:val="27"/>
                <w:lang w:eastAsia="en-IN"/>
              </w:rPr>
            </w:pPr>
            <w:r w:rsidRPr="0037378F">
              <w:rPr>
                <w:rFonts w:eastAsia="Times New Roman" w:cstheme="minorHAnsi"/>
                <w:b/>
                <w:bCs/>
                <w:sz w:val="24"/>
                <w:szCs w:val="24"/>
                <w:lang w:eastAsia="en-IN"/>
              </w:rPr>
              <w:t>Details</w:t>
            </w:r>
          </w:p>
        </w:tc>
      </w:tr>
      <w:tr w:rsidR="0037378F" w14:paraId="09029897" w14:textId="77777777" w:rsidTr="0037378F">
        <w:trPr>
          <w:trHeight w:val="554"/>
        </w:trPr>
        <w:tc>
          <w:tcPr>
            <w:tcW w:w="2830" w:type="dxa"/>
            <w:vAlign w:val="center"/>
          </w:tcPr>
          <w:p w14:paraId="5BFC7018" w14:textId="3637D429"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b/>
                <w:bCs/>
                <w:lang w:eastAsia="en-IN"/>
              </w:rPr>
              <w:t>Frequency of Monitoring</w:t>
            </w:r>
          </w:p>
        </w:tc>
        <w:tc>
          <w:tcPr>
            <w:tcW w:w="6186" w:type="dxa"/>
            <w:vAlign w:val="center"/>
          </w:tcPr>
          <w:p w14:paraId="7E652327" w14:textId="16D2EE81"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Monthly.</w:t>
            </w:r>
          </w:p>
        </w:tc>
      </w:tr>
      <w:tr w:rsidR="0037378F" w14:paraId="14C09D2E" w14:textId="77777777" w:rsidTr="0037378F">
        <w:tc>
          <w:tcPr>
            <w:tcW w:w="2830" w:type="dxa"/>
            <w:vAlign w:val="center"/>
          </w:tcPr>
          <w:p w14:paraId="43A4916D" w14:textId="35149AE3"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b/>
                <w:bCs/>
                <w:lang w:eastAsia="en-IN"/>
              </w:rPr>
              <w:t>Team Responsible</w:t>
            </w:r>
          </w:p>
        </w:tc>
        <w:tc>
          <w:tcPr>
            <w:tcW w:w="6186" w:type="dxa"/>
            <w:vAlign w:val="center"/>
          </w:tcPr>
          <w:p w14:paraId="1B6BE1C2" w14:textId="7286D000"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Fraud Strategy Team in collaboration with Enterprise Risk Management (ERM).</w:t>
            </w:r>
          </w:p>
        </w:tc>
      </w:tr>
      <w:tr w:rsidR="0037378F" w14:paraId="05B01157" w14:textId="77777777" w:rsidTr="0037378F">
        <w:trPr>
          <w:trHeight w:val="670"/>
        </w:trPr>
        <w:tc>
          <w:tcPr>
            <w:tcW w:w="2830" w:type="dxa"/>
            <w:vAlign w:val="center"/>
          </w:tcPr>
          <w:p w14:paraId="3C5AAF0D" w14:textId="38E69287"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b/>
                <w:bCs/>
                <w:lang w:eastAsia="en-IN"/>
              </w:rPr>
              <w:t>Stakeholders</w:t>
            </w:r>
          </w:p>
        </w:tc>
        <w:tc>
          <w:tcPr>
            <w:tcW w:w="6186" w:type="dxa"/>
            <w:vAlign w:val="center"/>
          </w:tcPr>
          <w:p w14:paraId="7DFA482E" w14:textId="009008B5"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Senior Management, Risk, and Operations Teams.</w:t>
            </w:r>
          </w:p>
        </w:tc>
      </w:tr>
    </w:tbl>
    <w:p w14:paraId="3E3839D0" w14:textId="77777777" w:rsidR="00814841" w:rsidRDefault="00814841" w:rsidP="00814841">
      <w:pPr>
        <w:spacing w:before="100" w:beforeAutospacing="1" w:after="100" w:afterAutospacing="1" w:line="240" w:lineRule="auto"/>
        <w:outlineLvl w:val="2"/>
        <w:rPr>
          <w:rFonts w:eastAsia="Times New Roman" w:cstheme="minorHAnsi"/>
          <w:b/>
          <w:bCs/>
          <w:sz w:val="27"/>
          <w:szCs w:val="27"/>
          <w:lang w:eastAsia="en-IN"/>
        </w:rPr>
      </w:pPr>
      <w:r w:rsidRPr="0037378F">
        <w:rPr>
          <w:rFonts w:eastAsia="Times New Roman" w:cstheme="minorHAnsi"/>
          <w:b/>
          <w:bCs/>
          <w:sz w:val="27"/>
          <w:szCs w:val="27"/>
          <w:lang w:eastAsia="en-IN"/>
        </w:rPr>
        <w:t>Performance Metrics and Thresholds</w:t>
      </w:r>
    </w:p>
    <w:tbl>
      <w:tblPr>
        <w:tblStyle w:val="TableGrid"/>
        <w:tblW w:w="9016" w:type="dxa"/>
        <w:tblLook w:val="04A0" w:firstRow="1" w:lastRow="0" w:firstColumn="1" w:lastColumn="0" w:noHBand="0" w:noVBand="1"/>
      </w:tblPr>
      <w:tblGrid>
        <w:gridCol w:w="2254"/>
        <w:gridCol w:w="2419"/>
        <w:gridCol w:w="1418"/>
        <w:gridCol w:w="2925"/>
      </w:tblGrid>
      <w:tr w:rsidR="0037378F" w14:paraId="7D3551A8" w14:textId="77777777" w:rsidTr="0037378F">
        <w:trPr>
          <w:trHeight w:val="564"/>
        </w:trPr>
        <w:tc>
          <w:tcPr>
            <w:tcW w:w="2254" w:type="dxa"/>
            <w:vAlign w:val="center"/>
          </w:tcPr>
          <w:p w14:paraId="61D075AD" w14:textId="0F4EEC45" w:rsidR="0037378F" w:rsidRDefault="0037378F" w:rsidP="0037378F">
            <w:pPr>
              <w:spacing w:before="100" w:beforeAutospacing="1" w:after="100" w:afterAutospacing="1"/>
              <w:outlineLvl w:val="2"/>
              <w:rPr>
                <w:rFonts w:eastAsia="Times New Roman" w:cstheme="minorHAnsi"/>
                <w:b/>
                <w:bCs/>
                <w:sz w:val="27"/>
                <w:szCs w:val="27"/>
                <w:lang w:eastAsia="en-IN"/>
              </w:rPr>
            </w:pPr>
            <w:r w:rsidRPr="0037378F">
              <w:rPr>
                <w:rFonts w:eastAsia="Times New Roman" w:cstheme="minorHAnsi"/>
                <w:b/>
                <w:bCs/>
                <w:sz w:val="24"/>
                <w:szCs w:val="24"/>
                <w:lang w:eastAsia="en-IN"/>
              </w:rPr>
              <w:t>Metric</w:t>
            </w:r>
          </w:p>
        </w:tc>
        <w:tc>
          <w:tcPr>
            <w:tcW w:w="2419" w:type="dxa"/>
            <w:vAlign w:val="center"/>
          </w:tcPr>
          <w:p w14:paraId="153F63F0" w14:textId="61CAC352" w:rsidR="0037378F" w:rsidRDefault="0037378F" w:rsidP="0037378F">
            <w:pPr>
              <w:spacing w:before="100" w:beforeAutospacing="1" w:after="100" w:afterAutospacing="1"/>
              <w:outlineLvl w:val="2"/>
              <w:rPr>
                <w:rFonts w:eastAsia="Times New Roman" w:cstheme="minorHAnsi"/>
                <w:b/>
                <w:bCs/>
                <w:sz w:val="27"/>
                <w:szCs w:val="27"/>
                <w:lang w:eastAsia="en-IN"/>
              </w:rPr>
            </w:pPr>
            <w:r w:rsidRPr="0037378F">
              <w:rPr>
                <w:rFonts w:eastAsia="Times New Roman" w:cstheme="minorHAnsi"/>
                <w:b/>
                <w:bCs/>
                <w:sz w:val="24"/>
                <w:szCs w:val="24"/>
                <w:lang w:eastAsia="en-IN"/>
              </w:rPr>
              <w:t>Definition</w:t>
            </w:r>
          </w:p>
        </w:tc>
        <w:tc>
          <w:tcPr>
            <w:tcW w:w="1418" w:type="dxa"/>
            <w:vAlign w:val="center"/>
          </w:tcPr>
          <w:p w14:paraId="3BE9ABDB" w14:textId="3AB3F9BB" w:rsidR="0037378F" w:rsidRDefault="0037378F" w:rsidP="0037378F">
            <w:pPr>
              <w:spacing w:before="100" w:beforeAutospacing="1" w:after="100" w:afterAutospacing="1"/>
              <w:outlineLvl w:val="2"/>
              <w:rPr>
                <w:rFonts w:eastAsia="Times New Roman" w:cstheme="minorHAnsi"/>
                <w:b/>
                <w:bCs/>
                <w:sz w:val="27"/>
                <w:szCs w:val="27"/>
                <w:lang w:eastAsia="en-IN"/>
              </w:rPr>
            </w:pPr>
            <w:r w:rsidRPr="0037378F">
              <w:rPr>
                <w:rFonts w:eastAsia="Times New Roman" w:cstheme="minorHAnsi"/>
                <w:b/>
                <w:bCs/>
                <w:sz w:val="24"/>
                <w:szCs w:val="24"/>
                <w:lang w:eastAsia="en-IN"/>
              </w:rPr>
              <w:t>Thresholds</w:t>
            </w:r>
          </w:p>
        </w:tc>
        <w:tc>
          <w:tcPr>
            <w:tcW w:w="2925" w:type="dxa"/>
            <w:vAlign w:val="center"/>
          </w:tcPr>
          <w:p w14:paraId="0E72B6D8" w14:textId="258045B7" w:rsidR="0037378F" w:rsidRDefault="0037378F" w:rsidP="0037378F">
            <w:pPr>
              <w:spacing w:before="100" w:beforeAutospacing="1" w:after="100" w:afterAutospacing="1"/>
              <w:outlineLvl w:val="2"/>
              <w:rPr>
                <w:rFonts w:eastAsia="Times New Roman" w:cstheme="minorHAnsi"/>
                <w:b/>
                <w:bCs/>
                <w:sz w:val="27"/>
                <w:szCs w:val="27"/>
                <w:lang w:eastAsia="en-IN"/>
              </w:rPr>
            </w:pPr>
            <w:r w:rsidRPr="0037378F">
              <w:rPr>
                <w:rFonts w:eastAsia="Times New Roman" w:cstheme="minorHAnsi"/>
                <w:b/>
                <w:bCs/>
                <w:sz w:val="24"/>
                <w:szCs w:val="24"/>
                <w:lang w:eastAsia="en-IN"/>
              </w:rPr>
              <w:t>Escalation Plan</w:t>
            </w:r>
          </w:p>
        </w:tc>
      </w:tr>
      <w:tr w:rsidR="0037378F" w14:paraId="00F347F1" w14:textId="77777777" w:rsidTr="0037378F">
        <w:tc>
          <w:tcPr>
            <w:tcW w:w="2254" w:type="dxa"/>
            <w:vAlign w:val="center"/>
          </w:tcPr>
          <w:p w14:paraId="7FB2CF7E" w14:textId="44FF3B99"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b/>
                <w:bCs/>
                <w:lang w:eastAsia="en-IN"/>
              </w:rPr>
              <w:t>True Positives (TP)</w:t>
            </w:r>
          </w:p>
        </w:tc>
        <w:tc>
          <w:tcPr>
            <w:tcW w:w="2419" w:type="dxa"/>
            <w:vAlign w:val="center"/>
          </w:tcPr>
          <w:p w14:paraId="09CF1AAD" w14:textId="0E9E2651"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Number of correctly flagged fraudulent transactions.</w:t>
            </w:r>
          </w:p>
        </w:tc>
        <w:tc>
          <w:tcPr>
            <w:tcW w:w="1418" w:type="dxa"/>
            <w:vAlign w:val="center"/>
          </w:tcPr>
          <w:p w14:paraId="693F02BC" w14:textId="64309AB6"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 95% (Green)</w:t>
            </w:r>
          </w:p>
        </w:tc>
        <w:tc>
          <w:tcPr>
            <w:tcW w:w="2925" w:type="dxa"/>
            <w:vAlign w:val="center"/>
          </w:tcPr>
          <w:p w14:paraId="3158E6BA" w14:textId="37AC152E"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b/>
                <w:bCs/>
                <w:lang w:eastAsia="en-IN"/>
              </w:rPr>
              <w:t>Amber (90-94%):</w:t>
            </w:r>
            <w:r w:rsidRPr="0037378F">
              <w:rPr>
                <w:rFonts w:eastAsia="Times New Roman" w:cstheme="minorHAnsi"/>
                <w:lang w:eastAsia="en-IN"/>
              </w:rPr>
              <w:t xml:space="preserve"> Review rules. </w:t>
            </w:r>
            <w:r w:rsidRPr="0037378F">
              <w:rPr>
                <w:rFonts w:eastAsia="Times New Roman" w:cstheme="minorHAnsi"/>
                <w:b/>
                <w:bCs/>
                <w:lang w:eastAsia="en-IN"/>
              </w:rPr>
              <w:t>Red (&lt;90%):</w:t>
            </w:r>
            <w:r w:rsidRPr="0037378F">
              <w:rPr>
                <w:rFonts w:eastAsia="Times New Roman" w:cstheme="minorHAnsi"/>
                <w:lang w:eastAsia="en-IN"/>
              </w:rPr>
              <w:t xml:space="preserve"> Immediate escalation to senior management.</w:t>
            </w:r>
          </w:p>
        </w:tc>
      </w:tr>
      <w:tr w:rsidR="0037378F" w14:paraId="5172386D" w14:textId="77777777" w:rsidTr="0037378F">
        <w:tc>
          <w:tcPr>
            <w:tcW w:w="2254" w:type="dxa"/>
            <w:vAlign w:val="center"/>
          </w:tcPr>
          <w:p w14:paraId="7B21450B" w14:textId="5FB5501D"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b/>
                <w:bCs/>
                <w:lang w:eastAsia="en-IN"/>
              </w:rPr>
              <w:t>False Positives (FP)</w:t>
            </w:r>
          </w:p>
        </w:tc>
        <w:tc>
          <w:tcPr>
            <w:tcW w:w="2419" w:type="dxa"/>
            <w:vAlign w:val="center"/>
          </w:tcPr>
          <w:p w14:paraId="4662ACB5" w14:textId="49CF5089"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Number of legitimate transactions incorrectly flagged as fraudulent.</w:t>
            </w:r>
          </w:p>
        </w:tc>
        <w:tc>
          <w:tcPr>
            <w:tcW w:w="1418" w:type="dxa"/>
            <w:vAlign w:val="center"/>
          </w:tcPr>
          <w:p w14:paraId="52888361" w14:textId="3151761B"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 5% (Green)</w:t>
            </w:r>
          </w:p>
        </w:tc>
        <w:tc>
          <w:tcPr>
            <w:tcW w:w="2925" w:type="dxa"/>
            <w:vAlign w:val="center"/>
          </w:tcPr>
          <w:p w14:paraId="5A250218" w14:textId="1D2CB796"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b/>
                <w:bCs/>
                <w:lang w:eastAsia="en-IN"/>
              </w:rPr>
              <w:t>Amber (5-10%):</w:t>
            </w:r>
            <w:r w:rsidRPr="0037378F">
              <w:rPr>
                <w:rFonts w:eastAsia="Times New Roman" w:cstheme="minorHAnsi"/>
                <w:lang w:eastAsia="en-IN"/>
              </w:rPr>
              <w:t xml:space="preserve"> Review and adjust thresholds. </w:t>
            </w:r>
            <w:r w:rsidRPr="0037378F">
              <w:rPr>
                <w:rFonts w:eastAsia="Times New Roman" w:cstheme="minorHAnsi"/>
                <w:b/>
                <w:bCs/>
                <w:lang w:eastAsia="en-IN"/>
              </w:rPr>
              <w:t>Red (&gt;10%):</w:t>
            </w:r>
            <w:r w:rsidRPr="0037378F">
              <w:rPr>
                <w:rFonts w:eastAsia="Times New Roman" w:cstheme="minorHAnsi"/>
                <w:lang w:eastAsia="en-IN"/>
              </w:rPr>
              <w:t xml:space="preserve"> Full model audit.</w:t>
            </w:r>
          </w:p>
        </w:tc>
      </w:tr>
      <w:tr w:rsidR="0037378F" w14:paraId="6DBA3A6B" w14:textId="77777777" w:rsidTr="0037378F">
        <w:tc>
          <w:tcPr>
            <w:tcW w:w="2254" w:type="dxa"/>
            <w:vAlign w:val="center"/>
          </w:tcPr>
          <w:p w14:paraId="79D7ECE0" w14:textId="578BBDCC"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b/>
                <w:bCs/>
                <w:lang w:eastAsia="en-IN"/>
              </w:rPr>
              <w:t>True Positive Rate (TPR)</w:t>
            </w:r>
          </w:p>
        </w:tc>
        <w:tc>
          <w:tcPr>
            <w:tcW w:w="2419" w:type="dxa"/>
            <w:vAlign w:val="center"/>
          </w:tcPr>
          <w:p w14:paraId="6BA743AF" w14:textId="26FD1FD1"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Proportion of actual fraud cases detected (sensitivity).</w:t>
            </w:r>
          </w:p>
        </w:tc>
        <w:tc>
          <w:tcPr>
            <w:tcW w:w="1418" w:type="dxa"/>
            <w:vAlign w:val="center"/>
          </w:tcPr>
          <w:p w14:paraId="0ADC8996" w14:textId="57BA4D32"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 90% (Green)</w:t>
            </w:r>
          </w:p>
        </w:tc>
        <w:tc>
          <w:tcPr>
            <w:tcW w:w="2925" w:type="dxa"/>
            <w:vAlign w:val="center"/>
          </w:tcPr>
          <w:p w14:paraId="49970074" w14:textId="213060D1"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b/>
                <w:bCs/>
                <w:lang w:eastAsia="en-IN"/>
              </w:rPr>
              <w:t>Amber (85-89%):</w:t>
            </w:r>
            <w:r w:rsidRPr="0037378F">
              <w:rPr>
                <w:rFonts w:eastAsia="Times New Roman" w:cstheme="minorHAnsi"/>
                <w:lang w:eastAsia="en-IN"/>
              </w:rPr>
              <w:t xml:space="preserve"> Investigate rule gaps. </w:t>
            </w:r>
            <w:r w:rsidRPr="0037378F">
              <w:rPr>
                <w:rFonts w:eastAsia="Times New Roman" w:cstheme="minorHAnsi"/>
                <w:b/>
                <w:bCs/>
                <w:lang w:eastAsia="en-IN"/>
              </w:rPr>
              <w:t>Red (&lt;85%):</w:t>
            </w:r>
            <w:r w:rsidRPr="0037378F">
              <w:rPr>
                <w:rFonts w:eastAsia="Times New Roman" w:cstheme="minorHAnsi"/>
                <w:lang w:eastAsia="en-IN"/>
              </w:rPr>
              <w:t xml:space="preserve"> Immediate rule reconfiguration.</w:t>
            </w:r>
          </w:p>
        </w:tc>
      </w:tr>
      <w:tr w:rsidR="0037378F" w14:paraId="752FDF0C" w14:textId="77777777" w:rsidTr="0037378F">
        <w:tc>
          <w:tcPr>
            <w:tcW w:w="2254" w:type="dxa"/>
            <w:vAlign w:val="center"/>
          </w:tcPr>
          <w:p w14:paraId="3744DDEA" w14:textId="57FEE9BF"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b/>
                <w:bCs/>
                <w:lang w:eastAsia="en-IN"/>
              </w:rPr>
              <w:t>False Positive Rate (FPR)</w:t>
            </w:r>
          </w:p>
        </w:tc>
        <w:tc>
          <w:tcPr>
            <w:tcW w:w="2419" w:type="dxa"/>
            <w:vAlign w:val="center"/>
          </w:tcPr>
          <w:p w14:paraId="68021EF1" w14:textId="695A2A96"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Proportion of non-fraud cases incorrectly flagged.</w:t>
            </w:r>
          </w:p>
        </w:tc>
        <w:tc>
          <w:tcPr>
            <w:tcW w:w="1418" w:type="dxa"/>
            <w:vAlign w:val="center"/>
          </w:tcPr>
          <w:p w14:paraId="3469E196" w14:textId="4320B367"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 5% (Green)</w:t>
            </w:r>
          </w:p>
        </w:tc>
        <w:tc>
          <w:tcPr>
            <w:tcW w:w="2925" w:type="dxa"/>
            <w:vAlign w:val="center"/>
          </w:tcPr>
          <w:p w14:paraId="5D000FC2" w14:textId="588F5A5F"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b/>
                <w:bCs/>
                <w:lang w:eastAsia="en-IN"/>
              </w:rPr>
              <w:t>Amber (5-10%):</w:t>
            </w:r>
            <w:r w:rsidRPr="0037378F">
              <w:rPr>
                <w:rFonts w:eastAsia="Times New Roman" w:cstheme="minorHAnsi"/>
                <w:lang w:eastAsia="en-IN"/>
              </w:rPr>
              <w:t xml:space="preserve"> Adjust rule specificity. </w:t>
            </w:r>
            <w:r w:rsidRPr="0037378F">
              <w:rPr>
                <w:rFonts w:eastAsia="Times New Roman" w:cstheme="minorHAnsi"/>
                <w:b/>
                <w:bCs/>
                <w:lang w:eastAsia="en-IN"/>
              </w:rPr>
              <w:t>Red (&gt;10%):</w:t>
            </w:r>
            <w:r w:rsidRPr="0037378F">
              <w:rPr>
                <w:rFonts w:eastAsia="Times New Roman" w:cstheme="minorHAnsi"/>
                <w:lang w:eastAsia="en-IN"/>
              </w:rPr>
              <w:t xml:space="preserve"> Immediate senior review.</w:t>
            </w:r>
          </w:p>
        </w:tc>
      </w:tr>
      <w:tr w:rsidR="0037378F" w14:paraId="0A30B1B6" w14:textId="77777777" w:rsidTr="0037378F">
        <w:tc>
          <w:tcPr>
            <w:tcW w:w="2254" w:type="dxa"/>
            <w:vAlign w:val="center"/>
          </w:tcPr>
          <w:p w14:paraId="735239E8" w14:textId="0E8AD431"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b/>
                <w:bCs/>
                <w:lang w:eastAsia="en-IN"/>
              </w:rPr>
              <w:t>Precision</w:t>
            </w:r>
          </w:p>
        </w:tc>
        <w:tc>
          <w:tcPr>
            <w:tcW w:w="2419" w:type="dxa"/>
            <w:vAlign w:val="center"/>
          </w:tcPr>
          <w:p w14:paraId="34846601" w14:textId="7EFB21EE"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Proportion of flagged transactions that are truly fraudulent.</w:t>
            </w:r>
          </w:p>
        </w:tc>
        <w:tc>
          <w:tcPr>
            <w:tcW w:w="1418" w:type="dxa"/>
            <w:vAlign w:val="center"/>
          </w:tcPr>
          <w:p w14:paraId="5649FD6B" w14:textId="0351A844"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 85% (Green)</w:t>
            </w:r>
          </w:p>
        </w:tc>
        <w:tc>
          <w:tcPr>
            <w:tcW w:w="2925" w:type="dxa"/>
            <w:vAlign w:val="center"/>
          </w:tcPr>
          <w:p w14:paraId="6F8BCF87" w14:textId="6EB0F578"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b/>
                <w:bCs/>
                <w:lang w:eastAsia="en-IN"/>
              </w:rPr>
              <w:t>Amber (80-84%):</w:t>
            </w:r>
            <w:r w:rsidRPr="0037378F">
              <w:rPr>
                <w:rFonts w:eastAsia="Times New Roman" w:cstheme="minorHAnsi"/>
                <w:lang w:eastAsia="en-IN"/>
              </w:rPr>
              <w:t xml:space="preserve"> Evaluate misclassifications. </w:t>
            </w:r>
            <w:r w:rsidRPr="0037378F">
              <w:rPr>
                <w:rFonts w:eastAsia="Times New Roman" w:cstheme="minorHAnsi"/>
                <w:b/>
                <w:bCs/>
                <w:lang w:eastAsia="en-IN"/>
              </w:rPr>
              <w:t>Red (&lt;80%):</w:t>
            </w:r>
            <w:r w:rsidRPr="0037378F">
              <w:rPr>
                <w:rFonts w:eastAsia="Times New Roman" w:cstheme="minorHAnsi"/>
                <w:lang w:eastAsia="en-IN"/>
              </w:rPr>
              <w:t xml:space="preserve"> Comprehensive rule review.</w:t>
            </w:r>
          </w:p>
        </w:tc>
      </w:tr>
      <w:tr w:rsidR="0037378F" w14:paraId="74C2532D" w14:textId="77777777" w:rsidTr="0037378F">
        <w:tc>
          <w:tcPr>
            <w:tcW w:w="2254" w:type="dxa"/>
            <w:vAlign w:val="center"/>
          </w:tcPr>
          <w:p w14:paraId="0495271C" w14:textId="5DFDDA16"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b/>
                <w:bCs/>
                <w:lang w:eastAsia="en-IN"/>
              </w:rPr>
              <w:lastRenderedPageBreak/>
              <w:t>Hit Rate</w:t>
            </w:r>
          </w:p>
        </w:tc>
        <w:tc>
          <w:tcPr>
            <w:tcW w:w="2419" w:type="dxa"/>
            <w:vAlign w:val="center"/>
          </w:tcPr>
          <w:p w14:paraId="690A155E" w14:textId="6EA457D4" w:rsidR="0037378F" w:rsidRPr="0037378F" w:rsidRDefault="0037378F" w:rsidP="0037378F">
            <w:pPr>
              <w:spacing w:before="100" w:beforeAutospacing="1" w:after="100" w:afterAutospacing="1"/>
              <w:outlineLvl w:val="2"/>
              <w:rPr>
                <w:rFonts w:eastAsia="Times New Roman" w:cstheme="minorHAnsi"/>
                <w:lang w:eastAsia="en-IN"/>
              </w:rPr>
            </w:pPr>
            <w:r w:rsidRPr="0037378F">
              <w:rPr>
                <w:rFonts w:eastAsia="Times New Roman" w:cstheme="minorHAnsi"/>
                <w:lang w:eastAsia="en-IN"/>
              </w:rPr>
              <w:t>Percentage of flagged transactions reviewed and resolved successfully.</w:t>
            </w:r>
          </w:p>
        </w:tc>
        <w:tc>
          <w:tcPr>
            <w:tcW w:w="1418" w:type="dxa"/>
            <w:vAlign w:val="center"/>
          </w:tcPr>
          <w:p w14:paraId="42E299D4" w14:textId="31CA580D" w:rsidR="0037378F" w:rsidRPr="0037378F" w:rsidRDefault="0037378F" w:rsidP="0037378F">
            <w:pPr>
              <w:spacing w:before="100" w:beforeAutospacing="1" w:after="100" w:afterAutospacing="1"/>
              <w:outlineLvl w:val="2"/>
              <w:rPr>
                <w:rFonts w:eastAsia="Times New Roman" w:cstheme="minorHAnsi"/>
                <w:lang w:eastAsia="en-IN"/>
              </w:rPr>
            </w:pPr>
            <w:r w:rsidRPr="0037378F">
              <w:rPr>
                <w:rFonts w:eastAsia="Times New Roman" w:cstheme="minorHAnsi"/>
                <w:lang w:eastAsia="en-IN"/>
              </w:rPr>
              <w:t>≥ 90% (Green)</w:t>
            </w:r>
          </w:p>
        </w:tc>
        <w:tc>
          <w:tcPr>
            <w:tcW w:w="2925" w:type="dxa"/>
            <w:vAlign w:val="center"/>
          </w:tcPr>
          <w:p w14:paraId="0A343C53" w14:textId="3AA0C443"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b/>
                <w:bCs/>
                <w:lang w:eastAsia="en-IN"/>
              </w:rPr>
              <w:t>Amber (85-89%):</w:t>
            </w:r>
            <w:r w:rsidRPr="0037378F">
              <w:rPr>
                <w:rFonts w:eastAsia="Times New Roman" w:cstheme="minorHAnsi"/>
                <w:lang w:eastAsia="en-IN"/>
              </w:rPr>
              <w:t xml:space="preserve"> Investigate workflow issues. </w:t>
            </w:r>
            <w:r w:rsidRPr="0037378F">
              <w:rPr>
                <w:rFonts w:eastAsia="Times New Roman" w:cstheme="minorHAnsi"/>
                <w:b/>
                <w:bCs/>
                <w:lang w:eastAsia="en-IN"/>
              </w:rPr>
              <w:t>Red (&lt;85%):</w:t>
            </w:r>
            <w:r w:rsidRPr="0037378F">
              <w:rPr>
                <w:rFonts w:eastAsia="Times New Roman" w:cstheme="minorHAnsi"/>
                <w:lang w:eastAsia="en-IN"/>
              </w:rPr>
              <w:t xml:space="preserve"> Process escalation.</w:t>
            </w:r>
          </w:p>
        </w:tc>
      </w:tr>
    </w:tbl>
    <w:p w14:paraId="3F7FC8C4" w14:textId="58AB2B21" w:rsidR="00814841" w:rsidRDefault="00814841" w:rsidP="00814841">
      <w:pPr>
        <w:spacing w:after="0" w:line="240" w:lineRule="auto"/>
        <w:rPr>
          <w:rFonts w:eastAsia="Times New Roman" w:cstheme="minorHAnsi"/>
          <w:sz w:val="24"/>
          <w:szCs w:val="24"/>
          <w:lang w:eastAsia="en-IN"/>
        </w:rPr>
      </w:pPr>
    </w:p>
    <w:p w14:paraId="571A1336" w14:textId="402A7D80" w:rsidR="00BE5857" w:rsidRPr="00AB5902" w:rsidRDefault="00AB5902" w:rsidP="00AB5902">
      <w:pPr>
        <w:spacing w:after="0" w:line="240" w:lineRule="auto"/>
        <w:jc w:val="both"/>
        <w:rPr>
          <w:rFonts w:eastAsia="Times New Roman" w:cstheme="minorHAnsi"/>
          <w:lang w:eastAsia="en-IN"/>
        </w:rPr>
      </w:pPr>
      <w:r w:rsidRPr="00AB5902">
        <w:rPr>
          <w:rFonts w:eastAsia="Times New Roman" w:cstheme="minorHAnsi"/>
          <w:lang w:eastAsia="en-IN"/>
        </w:rPr>
        <w:t>These threshold for respective metrics en</w:t>
      </w:r>
      <w:r w:rsidRPr="00AB5902">
        <w:rPr>
          <w:rFonts w:eastAsia="Times New Roman" w:cstheme="minorHAnsi"/>
          <w:lang w:eastAsia="en-IN"/>
        </w:rPr>
        <w:t>sures effective fraud detection, minimizes financial loss, and maintains regulatory compliance while aligning with industry standards. By reducing operational costs and customer friction, it follows best practices from fraud detection vendors like FICO and SAS. It maintains fraud detection efficiency and avoids unnecessary alerts by adhering to industry benchmarks for rule-based fraud systems. Accurate flagged transactions reduce unnecessary investigations and enhance efficiency. The strategy maximizes fraud coverage, ensures compliance, and maintains high detection rates, balancing detection efficiency with operational resources to optimize fraud prevention.</w:t>
      </w:r>
    </w:p>
    <w:p w14:paraId="5E7CBADC" w14:textId="77777777" w:rsidR="00BE5857" w:rsidRPr="00AB5902" w:rsidRDefault="00BE5857" w:rsidP="00BE5857">
      <w:pPr>
        <w:spacing w:after="0" w:line="240" w:lineRule="auto"/>
        <w:rPr>
          <w:rFonts w:eastAsia="Times New Roman" w:cstheme="minorHAnsi"/>
          <w:b/>
          <w:bCs/>
          <w:lang w:eastAsia="en-IN"/>
        </w:rPr>
      </w:pPr>
    </w:p>
    <w:p w14:paraId="77938BA1" w14:textId="35E33FC4" w:rsidR="00BE5857" w:rsidRPr="00BE5857" w:rsidRDefault="00BE5857" w:rsidP="00BE5857">
      <w:pPr>
        <w:spacing w:after="0" w:line="240" w:lineRule="auto"/>
        <w:rPr>
          <w:rFonts w:eastAsia="Times New Roman" w:cstheme="minorHAnsi"/>
          <w:lang w:eastAsia="en-IN"/>
        </w:rPr>
      </w:pPr>
      <w:r w:rsidRPr="00BE5857">
        <w:rPr>
          <w:rFonts w:eastAsia="Times New Roman" w:cstheme="minorHAnsi"/>
          <w:b/>
          <w:bCs/>
          <w:lang w:eastAsia="en-IN"/>
        </w:rPr>
        <w:t>Regulatory Guidance</w:t>
      </w:r>
      <w:r w:rsidRPr="00BE5857">
        <w:rPr>
          <w:rFonts w:eastAsia="Times New Roman" w:cstheme="minorHAnsi"/>
          <w:lang w:eastAsia="en-IN"/>
        </w:rPr>
        <w:t>:</w:t>
      </w:r>
    </w:p>
    <w:p w14:paraId="7260884F" w14:textId="77777777" w:rsidR="00BE5857" w:rsidRPr="00BE5857" w:rsidRDefault="00BE5857" w:rsidP="00BE5857">
      <w:pPr>
        <w:numPr>
          <w:ilvl w:val="0"/>
          <w:numId w:val="3"/>
        </w:numPr>
        <w:spacing w:after="0" w:line="240" w:lineRule="auto"/>
        <w:rPr>
          <w:rFonts w:eastAsia="Times New Roman" w:cstheme="minorHAnsi"/>
          <w:lang w:eastAsia="en-IN"/>
        </w:rPr>
      </w:pPr>
      <w:r w:rsidRPr="00BE5857">
        <w:rPr>
          <w:rFonts w:eastAsia="Times New Roman" w:cstheme="minorHAnsi"/>
          <w:b/>
          <w:bCs/>
          <w:lang w:eastAsia="en-IN"/>
        </w:rPr>
        <w:t>OCC Bulletin 2011-12</w:t>
      </w:r>
      <w:r w:rsidRPr="00BE5857">
        <w:rPr>
          <w:rFonts w:eastAsia="Times New Roman" w:cstheme="minorHAnsi"/>
          <w:lang w:eastAsia="en-IN"/>
        </w:rPr>
        <w:t>: Recommends setting performance thresholds to ensure fraud detection models meet operational and regulatory needs.</w:t>
      </w:r>
    </w:p>
    <w:p w14:paraId="7C5A4365" w14:textId="77777777" w:rsidR="00BE5857" w:rsidRPr="00BE5857" w:rsidRDefault="00BE5857" w:rsidP="00BE5857">
      <w:pPr>
        <w:numPr>
          <w:ilvl w:val="0"/>
          <w:numId w:val="3"/>
        </w:numPr>
        <w:spacing w:after="0" w:line="240" w:lineRule="auto"/>
        <w:rPr>
          <w:rFonts w:eastAsia="Times New Roman" w:cstheme="minorHAnsi"/>
          <w:lang w:eastAsia="en-IN"/>
        </w:rPr>
      </w:pPr>
      <w:r w:rsidRPr="00BE5857">
        <w:rPr>
          <w:rFonts w:eastAsia="Times New Roman" w:cstheme="minorHAnsi"/>
          <w:b/>
          <w:bCs/>
          <w:lang w:eastAsia="en-IN"/>
        </w:rPr>
        <w:t>Basel Committee’s Principles</w:t>
      </w:r>
      <w:r w:rsidRPr="00BE5857">
        <w:rPr>
          <w:rFonts w:eastAsia="Times New Roman" w:cstheme="minorHAnsi"/>
          <w:lang w:eastAsia="en-IN"/>
        </w:rPr>
        <w:t>: Highlights the importance of monitoring performance metrics to ensure risk mitigation.</w:t>
      </w:r>
    </w:p>
    <w:p w14:paraId="07A52FE8" w14:textId="77777777" w:rsidR="00BE5857" w:rsidRPr="0037378F" w:rsidRDefault="00BE5857" w:rsidP="00814841">
      <w:pPr>
        <w:spacing w:after="0" w:line="240" w:lineRule="auto"/>
        <w:rPr>
          <w:rFonts w:eastAsia="Times New Roman" w:cstheme="minorHAnsi"/>
          <w:sz w:val="24"/>
          <w:szCs w:val="24"/>
          <w:lang w:eastAsia="en-IN"/>
        </w:rPr>
      </w:pPr>
    </w:p>
    <w:p w14:paraId="2445CACA" w14:textId="77777777" w:rsidR="00814841" w:rsidRDefault="00814841" w:rsidP="00814841">
      <w:pPr>
        <w:spacing w:before="100" w:beforeAutospacing="1" w:after="100" w:afterAutospacing="1" w:line="240" w:lineRule="auto"/>
        <w:outlineLvl w:val="2"/>
        <w:rPr>
          <w:rFonts w:eastAsia="Times New Roman" w:cstheme="minorHAnsi"/>
          <w:b/>
          <w:bCs/>
          <w:sz w:val="27"/>
          <w:szCs w:val="27"/>
          <w:lang w:eastAsia="en-IN"/>
        </w:rPr>
      </w:pPr>
      <w:r w:rsidRPr="0037378F">
        <w:rPr>
          <w:rFonts w:eastAsia="Times New Roman" w:cstheme="minorHAnsi"/>
          <w:b/>
          <w:bCs/>
          <w:sz w:val="27"/>
          <w:szCs w:val="27"/>
          <w:lang w:eastAsia="en-IN"/>
        </w:rPr>
        <w:t>Escalation Matrix</w:t>
      </w:r>
    </w:p>
    <w:tbl>
      <w:tblPr>
        <w:tblStyle w:val="TableGrid"/>
        <w:tblW w:w="0" w:type="auto"/>
        <w:tblLook w:val="04A0" w:firstRow="1" w:lastRow="0" w:firstColumn="1" w:lastColumn="0" w:noHBand="0" w:noVBand="1"/>
      </w:tblPr>
      <w:tblGrid>
        <w:gridCol w:w="1271"/>
        <w:gridCol w:w="2268"/>
        <w:gridCol w:w="3223"/>
        <w:gridCol w:w="2254"/>
      </w:tblGrid>
      <w:tr w:rsidR="0037378F" w14:paraId="64CB3119" w14:textId="77777777" w:rsidTr="0037378F">
        <w:trPr>
          <w:trHeight w:val="550"/>
        </w:trPr>
        <w:tc>
          <w:tcPr>
            <w:tcW w:w="1271" w:type="dxa"/>
            <w:vAlign w:val="center"/>
          </w:tcPr>
          <w:p w14:paraId="03DE7502" w14:textId="6C511536" w:rsidR="0037378F" w:rsidRDefault="0037378F" w:rsidP="0037378F">
            <w:pPr>
              <w:spacing w:before="100" w:beforeAutospacing="1" w:after="100" w:afterAutospacing="1"/>
              <w:outlineLvl w:val="2"/>
              <w:rPr>
                <w:rFonts w:eastAsia="Times New Roman" w:cstheme="minorHAnsi"/>
                <w:b/>
                <w:bCs/>
                <w:sz w:val="27"/>
                <w:szCs w:val="27"/>
                <w:lang w:eastAsia="en-IN"/>
              </w:rPr>
            </w:pPr>
            <w:r w:rsidRPr="0037378F">
              <w:rPr>
                <w:rFonts w:eastAsia="Times New Roman" w:cstheme="minorHAnsi"/>
                <w:b/>
                <w:bCs/>
                <w:sz w:val="24"/>
                <w:szCs w:val="24"/>
                <w:lang w:eastAsia="en-IN"/>
              </w:rPr>
              <w:t>Severity</w:t>
            </w:r>
          </w:p>
        </w:tc>
        <w:tc>
          <w:tcPr>
            <w:tcW w:w="2268" w:type="dxa"/>
            <w:vAlign w:val="center"/>
          </w:tcPr>
          <w:p w14:paraId="083B86E7" w14:textId="7DA79F6A" w:rsidR="0037378F" w:rsidRDefault="0037378F" w:rsidP="0037378F">
            <w:pPr>
              <w:spacing w:before="100" w:beforeAutospacing="1" w:after="100" w:afterAutospacing="1"/>
              <w:outlineLvl w:val="2"/>
              <w:rPr>
                <w:rFonts w:eastAsia="Times New Roman" w:cstheme="minorHAnsi"/>
                <w:b/>
                <w:bCs/>
                <w:sz w:val="27"/>
                <w:szCs w:val="27"/>
                <w:lang w:eastAsia="en-IN"/>
              </w:rPr>
            </w:pPr>
            <w:r w:rsidRPr="0037378F">
              <w:rPr>
                <w:rFonts w:eastAsia="Times New Roman" w:cstheme="minorHAnsi"/>
                <w:b/>
                <w:bCs/>
                <w:sz w:val="24"/>
                <w:szCs w:val="24"/>
                <w:lang w:eastAsia="en-IN"/>
              </w:rPr>
              <w:t>Description</w:t>
            </w:r>
          </w:p>
        </w:tc>
        <w:tc>
          <w:tcPr>
            <w:tcW w:w="3223" w:type="dxa"/>
            <w:vAlign w:val="center"/>
          </w:tcPr>
          <w:p w14:paraId="6EB2EFBB" w14:textId="229BADCE" w:rsidR="0037378F" w:rsidRDefault="0037378F" w:rsidP="0037378F">
            <w:pPr>
              <w:spacing w:before="100" w:beforeAutospacing="1" w:after="100" w:afterAutospacing="1"/>
              <w:outlineLvl w:val="2"/>
              <w:rPr>
                <w:rFonts w:eastAsia="Times New Roman" w:cstheme="minorHAnsi"/>
                <w:b/>
                <w:bCs/>
                <w:sz w:val="27"/>
                <w:szCs w:val="27"/>
                <w:lang w:eastAsia="en-IN"/>
              </w:rPr>
            </w:pPr>
            <w:r w:rsidRPr="0037378F">
              <w:rPr>
                <w:rFonts w:eastAsia="Times New Roman" w:cstheme="minorHAnsi"/>
                <w:b/>
                <w:bCs/>
                <w:sz w:val="24"/>
                <w:szCs w:val="24"/>
                <w:lang w:eastAsia="en-IN"/>
              </w:rPr>
              <w:t>Action Plan</w:t>
            </w:r>
          </w:p>
        </w:tc>
        <w:tc>
          <w:tcPr>
            <w:tcW w:w="2254" w:type="dxa"/>
            <w:vAlign w:val="center"/>
          </w:tcPr>
          <w:p w14:paraId="61A3D264" w14:textId="49677AE6" w:rsidR="0037378F" w:rsidRDefault="0037378F" w:rsidP="0037378F">
            <w:pPr>
              <w:spacing w:before="100" w:beforeAutospacing="1" w:after="100" w:afterAutospacing="1"/>
              <w:outlineLvl w:val="2"/>
              <w:rPr>
                <w:rFonts w:eastAsia="Times New Roman" w:cstheme="minorHAnsi"/>
                <w:b/>
                <w:bCs/>
                <w:sz w:val="27"/>
                <w:szCs w:val="27"/>
                <w:lang w:eastAsia="en-IN"/>
              </w:rPr>
            </w:pPr>
            <w:r w:rsidRPr="0037378F">
              <w:rPr>
                <w:rFonts w:eastAsia="Times New Roman" w:cstheme="minorHAnsi"/>
                <w:b/>
                <w:bCs/>
                <w:sz w:val="24"/>
                <w:szCs w:val="24"/>
                <w:lang w:eastAsia="en-IN"/>
              </w:rPr>
              <w:t>Responsible Parties</w:t>
            </w:r>
          </w:p>
        </w:tc>
      </w:tr>
      <w:tr w:rsidR="0037378F" w14:paraId="0B8961BF" w14:textId="77777777" w:rsidTr="0037378F">
        <w:tc>
          <w:tcPr>
            <w:tcW w:w="1271" w:type="dxa"/>
            <w:vAlign w:val="center"/>
          </w:tcPr>
          <w:p w14:paraId="62278610" w14:textId="21E292D6"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b/>
                <w:bCs/>
                <w:lang w:eastAsia="en-IN"/>
              </w:rPr>
              <w:t>Green</w:t>
            </w:r>
          </w:p>
        </w:tc>
        <w:tc>
          <w:tcPr>
            <w:tcW w:w="2268" w:type="dxa"/>
            <w:vAlign w:val="center"/>
          </w:tcPr>
          <w:p w14:paraId="214F08ED" w14:textId="0C27E7F3"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Metrics within thresholds.</w:t>
            </w:r>
          </w:p>
        </w:tc>
        <w:tc>
          <w:tcPr>
            <w:tcW w:w="3223" w:type="dxa"/>
            <w:vAlign w:val="center"/>
          </w:tcPr>
          <w:p w14:paraId="70164243" w14:textId="71F9FE56"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Continue standard monitoring and reporting.</w:t>
            </w:r>
          </w:p>
        </w:tc>
        <w:tc>
          <w:tcPr>
            <w:tcW w:w="2254" w:type="dxa"/>
            <w:vAlign w:val="center"/>
          </w:tcPr>
          <w:p w14:paraId="20F90033" w14:textId="1E9F17C4"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Fraud Strategy Team.</w:t>
            </w:r>
          </w:p>
        </w:tc>
      </w:tr>
      <w:tr w:rsidR="0037378F" w14:paraId="3DC4E382" w14:textId="77777777" w:rsidTr="0037378F">
        <w:tc>
          <w:tcPr>
            <w:tcW w:w="1271" w:type="dxa"/>
            <w:vAlign w:val="center"/>
          </w:tcPr>
          <w:p w14:paraId="30779F39" w14:textId="585F6AAE"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b/>
                <w:bCs/>
                <w:lang w:eastAsia="en-IN"/>
              </w:rPr>
              <w:t>Amber</w:t>
            </w:r>
          </w:p>
        </w:tc>
        <w:tc>
          <w:tcPr>
            <w:tcW w:w="2268" w:type="dxa"/>
            <w:vAlign w:val="center"/>
          </w:tcPr>
          <w:p w14:paraId="78242871" w14:textId="5F8C830E"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Metrics approaching thresholds; potential risk identified.</w:t>
            </w:r>
          </w:p>
        </w:tc>
        <w:tc>
          <w:tcPr>
            <w:tcW w:w="3223" w:type="dxa"/>
            <w:vAlign w:val="center"/>
          </w:tcPr>
          <w:p w14:paraId="1E3075FB" w14:textId="2C8C94DE"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Conduct a detailed review of flagged metrics. Implement minor rule adjustments if required.</w:t>
            </w:r>
          </w:p>
        </w:tc>
        <w:tc>
          <w:tcPr>
            <w:tcW w:w="2254" w:type="dxa"/>
            <w:vAlign w:val="center"/>
          </w:tcPr>
          <w:p w14:paraId="442AECA2" w14:textId="2837C7E4"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Fraud Strategy Team in collaboration with ERM.</w:t>
            </w:r>
          </w:p>
        </w:tc>
      </w:tr>
      <w:tr w:rsidR="0037378F" w14:paraId="4C58E939" w14:textId="77777777" w:rsidTr="0037378F">
        <w:tc>
          <w:tcPr>
            <w:tcW w:w="1271" w:type="dxa"/>
            <w:vAlign w:val="center"/>
          </w:tcPr>
          <w:p w14:paraId="4558D834" w14:textId="7EFC34FD"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b/>
                <w:bCs/>
                <w:lang w:eastAsia="en-IN"/>
              </w:rPr>
              <w:t>Red</w:t>
            </w:r>
          </w:p>
        </w:tc>
        <w:tc>
          <w:tcPr>
            <w:tcW w:w="2268" w:type="dxa"/>
            <w:vAlign w:val="center"/>
          </w:tcPr>
          <w:p w14:paraId="7C6B24E5" w14:textId="2C89D2D6"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Metrics outside acceptable thresholds; critical performance issue.</w:t>
            </w:r>
          </w:p>
        </w:tc>
        <w:tc>
          <w:tcPr>
            <w:tcW w:w="3223" w:type="dxa"/>
            <w:vAlign w:val="center"/>
          </w:tcPr>
          <w:p w14:paraId="35735583" w14:textId="3E6A1836"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Escalate immediately to senior management. Conduct a full review and reconfiguration of affected rules.</w:t>
            </w:r>
          </w:p>
        </w:tc>
        <w:tc>
          <w:tcPr>
            <w:tcW w:w="2254" w:type="dxa"/>
            <w:vAlign w:val="center"/>
          </w:tcPr>
          <w:p w14:paraId="24A440DB" w14:textId="072F9980"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Fraud Strategy Team, ERM, Senior Management.</w:t>
            </w:r>
          </w:p>
        </w:tc>
      </w:tr>
    </w:tbl>
    <w:p w14:paraId="281BB9E4" w14:textId="34AD3EB9" w:rsidR="00814841" w:rsidRPr="0037378F" w:rsidRDefault="00814841" w:rsidP="00814841">
      <w:pPr>
        <w:spacing w:after="0" w:line="240" w:lineRule="auto"/>
        <w:rPr>
          <w:rFonts w:eastAsia="Times New Roman" w:cstheme="minorHAnsi"/>
          <w:sz w:val="24"/>
          <w:szCs w:val="24"/>
          <w:lang w:eastAsia="en-IN"/>
        </w:rPr>
      </w:pPr>
    </w:p>
    <w:p w14:paraId="4AB71B3F" w14:textId="77777777" w:rsidR="00814841" w:rsidRDefault="00814841" w:rsidP="00814841">
      <w:pPr>
        <w:spacing w:before="100" w:beforeAutospacing="1" w:after="100" w:afterAutospacing="1" w:line="240" w:lineRule="auto"/>
        <w:outlineLvl w:val="2"/>
        <w:rPr>
          <w:rFonts w:eastAsia="Times New Roman" w:cstheme="minorHAnsi"/>
          <w:b/>
          <w:bCs/>
          <w:sz w:val="27"/>
          <w:szCs w:val="27"/>
          <w:lang w:eastAsia="en-IN"/>
        </w:rPr>
      </w:pPr>
      <w:r w:rsidRPr="0037378F">
        <w:rPr>
          <w:rFonts w:eastAsia="Times New Roman" w:cstheme="minorHAnsi"/>
          <w:b/>
          <w:bCs/>
          <w:sz w:val="27"/>
          <w:szCs w:val="27"/>
          <w:lang w:eastAsia="en-IN"/>
        </w:rPr>
        <w:t>Monitoring Activities</w:t>
      </w:r>
    </w:p>
    <w:tbl>
      <w:tblPr>
        <w:tblStyle w:val="TableGrid"/>
        <w:tblW w:w="0" w:type="auto"/>
        <w:tblLook w:val="04A0" w:firstRow="1" w:lastRow="0" w:firstColumn="1" w:lastColumn="0" w:noHBand="0" w:noVBand="1"/>
      </w:tblPr>
      <w:tblGrid>
        <w:gridCol w:w="2254"/>
        <w:gridCol w:w="1710"/>
        <w:gridCol w:w="2268"/>
        <w:gridCol w:w="2784"/>
      </w:tblGrid>
      <w:tr w:rsidR="0037378F" w14:paraId="5FE003C9" w14:textId="77777777" w:rsidTr="0037378F">
        <w:trPr>
          <w:trHeight w:val="633"/>
        </w:trPr>
        <w:tc>
          <w:tcPr>
            <w:tcW w:w="2254" w:type="dxa"/>
            <w:vAlign w:val="center"/>
          </w:tcPr>
          <w:p w14:paraId="0C87AA2A" w14:textId="517B1719" w:rsidR="0037378F" w:rsidRDefault="0037378F" w:rsidP="0037378F">
            <w:pPr>
              <w:spacing w:before="100" w:beforeAutospacing="1" w:after="100" w:afterAutospacing="1"/>
              <w:outlineLvl w:val="2"/>
              <w:rPr>
                <w:rFonts w:eastAsia="Times New Roman" w:cstheme="minorHAnsi"/>
                <w:b/>
                <w:bCs/>
                <w:sz w:val="27"/>
                <w:szCs w:val="27"/>
                <w:lang w:eastAsia="en-IN"/>
              </w:rPr>
            </w:pPr>
            <w:r w:rsidRPr="0037378F">
              <w:rPr>
                <w:rFonts w:eastAsia="Times New Roman" w:cstheme="minorHAnsi"/>
                <w:b/>
                <w:bCs/>
                <w:sz w:val="24"/>
                <w:szCs w:val="24"/>
                <w:lang w:eastAsia="en-IN"/>
              </w:rPr>
              <w:t>Activity</w:t>
            </w:r>
          </w:p>
        </w:tc>
        <w:tc>
          <w:tcPr>
            <w:tcW w:w="1710" w:type="dxa"/>
            <w:vAlign w:val="center"/>
          </w:tcPr>
          <w:p w14:paraId="4B97D424" w14:textId="7A31FCAF" w:rsidR="0037378F" w:rsidRDefault="0037378F" w:rsidP="0037378F">
            <w:pPr>
              <w:spacing w:before="100" w:beforeAutospacing="1" w:after="100" w:afterAutospacing="1"/>
              <w:outlineLvl w:val="2"/>
              <w:rPr>
                <w:rFonts w:eastAsia="Times New Roman" w:cstheme="minorHAnsi"/>
                <w:b/>
                <w:bCs/>
                <w:sz w:val="27"/>
                <w:szCs w:val="27"/>
                <w:lang w:eastAsia="en-IN"/>
              </w:rPr>
            </w:pPr>
            <w:r w:rsidRPr="0037378F">
              <w:rPr>
                <w:rFonts w:eastAsia="Times New Roman" w:cstheme="minorHAnsi"/>
                <w:b/>
                <w:bCs/>
                <w:sz w:val="24"/>
                <w:szCs w:val="24"/>
                <w:lang w:eastAsia="en-IN"/>
              </w:rPr>
              <w:t>Frequency</w:t>
            </w:r>
          </w:p>
        </w:tc>
        <w:tc>
          <w:tcPr>
            <w:tcW w:w="2268" w:type="dxa"/>
            <w:vAlign w:val="center"/>
          </w:tcPr>
          <w:p w14:paraId="1AB23C7A" w14:textId="6AB7C746" w:rsidR="0037378F" w:rsidRDefault="0037378F" w:rsidP="0037378F">
            <w:pPr>
              <w:spacing w:before="100" w:beforeAutospacing="1" w:after="100" w:afterAutospacing="1"/>
              <w:outlineLvl w:val="2"/>
              <w:rPr>
                <w:rFonts w:eastAsia="Times New Roman" w:cstheme="minorHAnsi"/>
                <w:b/>
                <w:bCs/>
                <w:sz w:val="27"/>
                <w:szCs w:val="27"/>
                <w:lang w:eastAsia="en-IN"/>
              </w:rPr>
            </w:pPr>
            <w:r w:rsidRPr="0037378F">
              <w:rPr>
                <w:rFonts w:eastAsia="Times New Roman" w:cstheme="minorHAnsi"/>
                <w:b/>
                <w:bCs/>
                <w:sz w:val="24"/>
                <w:szCs w:val="24"/>
                <w:lang w:eastAsia="en-IN"/>
              </w:rPr>
              <w:t>Responsible Team</w:t>
            </w:r>
          </w:p>
        </w:tc>
        <w:tc>
          <w:tcPr>
            <w:tcW w:w="2784" w:type="dxa"/>
            <w:vAlign w:val="center"/>
          </w:tcPr>
          <w:p w14:paraId="42C6CE2A" w14:textId="2764B274" w:rsidR="0037378F" w:rsidRDefault="0037378F" w:rsidP="0037378F">
            <w:pPr>
              <w:spacing w:before="100" w:beforeAutospacing="1" w:after="100" w:afterAutospacing="1"/>
              <w:outlineLvl w:val="2"/>
              <w:rPr>
                <w:rFonts w:eastAsia="Times New Roman" w:cstheme="minorHAnsi"/>
                <w:b/>
                <w:bCs/>
                <w:sz w:val="27"/>
                <w:szCs w:val="27"/>
                <w:lang w:eastAsia="en-IN"/>
              </w:rPr>
            </w:pPr>
            <w:r w:rsidRPr="0037378F">
              <w:rPr>
                <w:rFonts w:eastAsia="Times New Roman" w:cstheme="minorHAnsi"/>
                <w:b/>
                <w:bCs/>
                <w:sz w:val="24"/>
                <w:szCs w:val="24"/>
                <w:lang w:eastAsia="en-IN"/>
              </w:rPr>
              <w:t>Key Deliverables</w:t>
            </w:r>
          </w:p>
        </w:tc>
      </w:tr>
      <w:tr w:rsidR="0037378F" w14:paraId="6E72184B" w14:textId="77777777" w:rsidTr="0037378F">
        <w:tc>
          <w:tcPr>
            <w:tcW w:w="2254" w:type="dxa"/>
            <w:vAlign w:val="center"/>
          </w:tcPr>
          <w:p w14:paraId="2FFE30C1" w14:textId="5D1EE6CD"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Generate monthly performance reports.</w:t>
            </w:r>
          </w:p>
        </w:tc>
        <w:tc>
          <w:tcPr>
            <w:tcW w:w="1710" w:type="dxa"/>
            <w:vAlign w:val="center"/>
          </w:tcPr>
          <w:p w14:paraId="45A123D2" w14:textId="05893E70"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Monthly</w:t>
            </w:r>
          </w:p>
        </w:tc>
        <w:tc>
          <w:tcPr>
            <w:tcW w:w="2268" w:type="dxa"/>
            <w:vAlign w:val="center"/>
          </w:tcPr>
          <w:p w14:paraId="51E8029C" w14:textId="7D2CFABE"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Fraud Strategy Team, ERM</w:t>
            </w:r>
          </w:p>
        </w:tc>
        <w:tc>
          <w:tcPr>
            <w:tcW w:w="2784" w:type="dxa"/>
            <w:vAlign w:val="center"/>
          </w:tcPr>
          <w:p w14:paraId="4CB8F3E9" w14:textId="419C43BC"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Performance report detailing TP, FP, TPR, FPR, precision, and hit rate.</w:t>
            </w:r>
          </w:p>
        </w:tc>
      </w:tr>
      <w:tr w:rsidR="0037378F" w14:paraId="0742A802" w14:textId="77777777" w:rsidTr="0037378F">
        <w:tc>
          <w:tcPr>
            <w:tcW w:w="2254" w:type="dxa"/>
            <w:vAlign w:val="center"/>
          </w:tcPr>
          <w:p w14:paraId="2A1AEF9B" w14:textId="22DF4EC0"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Review flagged metrics.</w:t>
            </w:r>
          </w:p>
        </w:tc>
        <w:tc>
          <w:tcPr>
            <w:tcW w:w="1710" w:type="dxa"/>
            <w:vAlign w:val="center"/>
          </w:tcPr>
          <w:p w14:paraId="6666D89C" w14:textId="6BDCF237"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Monthly</w:t>
            </w:r>
          </w:p>
        </w:tc>
        <w:tc>
          <w:tcPr>
            <w:tcW w:w="2268" w:type="dxa"/>
            <w:vAlign w:val="center"/>
          </w:tcPr>
          <w:p w14:paraId="1290C792" w14:textId="1645195A"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Fraud Strategy Team</w:t>
            </w:r>
          </w:p>
        </w:tc>
        <w:tc>
          <w:tcPr>
            <w:tcW w:w="2784" w:type="dxa"/>
            <w:vAlign w:val="center"/>
          </w:tcPr>
          <w:p w14:paraId="5744D8EC" w14:textId="73EA3E6D"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Identification of trends or anomalies in performance metrics.</w:t>
            </w:r>
          </w:p>
        </w:tc>
      </w:tr>
      <w:tr w:rsidR="0037378F" w14:paraId="279A0E8C" w14:textId="77777777" w:rsidTr="0037378F">
        <w:tc>
          <w:tcPr>
            <w:tcW w:w="2254" w:type="dxa"/>
            <w:vAlign w:val="center"/>
          </w:tcPr>
          <w:p w14:paraId="23341923" w14:textId="7C69C64B"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Escalate issues outside thresholds.</w:t>
            </w:r>
          </w:p>
        </w:tc>
        <w:tc>
          <w:tcPr>
            <w:tcW w:w="1710" w:type="dxa"/>
            <w:vAlign w:val="center"/>
          </w:tcPr>
          <w:p w14:paraId="20B52756" w14:textId="00E91E44"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As needed</w:t>
            </w:r>
          </w:p>
        </w:tc>
        <w:tc>
          <w:tcPr>
            <w:tcW w:w="2268" w:type="dxa"/>
            <w:vAlign w:val="center"/>
          </w:tcPr>
          <w:p w14:paraId="60B2DCFD" w14:textId="0A3AC34A"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Fraud Strategy Team, ERM, Senior Management</w:t>
            </w:r>
          </w:p>
        </w:tc>
        <w:tc>
          <w:tcPr>
            <w:tcW w:w="2784" w:type="dxa"/>
            <w:vAlign w:val="center"/>
          </w:tcPr>
          <w:p w14:paraId="48D4D271" w14:textId="0B62A449"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Corrective actions and model updates.</w:t>
            </w:r>
          </w:p>
        </w:tc>
      </w:tr>
      <w:tr w:rsidR="0037378F" w14:paraId="00ABB997" w14:textId="77777777" w:rsidTr="0037378F">
        <w:tc>
          <w:tcPr>
            <w:tcW w:w="2254" w:type="dxa"/>
            <w:vAlign w:val="center"/>
          </w:tcPr>
          <w:p w14:paraId="5C2CCE00" w14:textId="62453E8D"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lastRenderedPageBreak/>
              <w:t>Update rules based on findings.</w:t>
            </w:r>
          </w:p>
        </w:tc>
        <w:tc>
          <w:tcPr>
            <w:tcW w:w="1710" w:type="dxa"/>
            <w:vAlign w:val="center"/>
          </w:tcPr>
          <w:p w14:paraId="3DE7B83B" w14:textId="157D87FF"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Quarterly</w:t>
            </w:r>
          </w:p>
        </w:tc>
        <w:tc>
          <w:tcPr>
            <w:tcW w:w="2268" w:type="dxa"/>
            <w:vAlign w:val="center"/>
          </w:tcPr>
          <w:p w14:paraId="7D938E4A" w14:textId="0BD6F87D"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Fraud Strategy Team</w:t>
            </w:r>
          </w:p>
        </w:tc>
        <w:tc>
          <w:tcPr>
            <w:tcW w:w="2784" w:type="dxa"/>
            <w:vAlign w:val="center"/>
          </w:tcPr>
          <w:p w14:paraId="20C6AB70" w14:textId="51078563" w:rsidR="0037378F" w:rsidRPr="0037378F" w:rsidRDefault="0037378F" w:rsidP="0037378F">
            <w:pPr>
              <w:spacing w:before="100" w:beforeAutospacing="1" w:after="100" w:afterAutospacing="1"/>
              <w:outlineLvl w:val="2"/>
              <w:rPr>
                <w:rFonts w:eastAsia="Times New Roman" w:cstheme="minorHAnsi"/>
                <w:b/>
                <w:bCs/>
                <w:lang w:eastAsia="en-IN"/>
              </w:rPr>
            </w:pPr>
            <w:r w:rsidRPr="0037378F">
              <w:rPr>
                <w:rFonts w:eastAsia="Times New Roman" w:cstheme="minorHAnsi"/>
                <w:lang w:eastAsia="en-IN"/>
              </w:rPr>
              <w:t>Adjustments to rules and thresholds to optimize performance.</w:t>
            </w:r>
          </w:p>
        </w:tc>
      </w:tr>
    </w:tbl>
    <w:p w14:paraId="66DF02EF" w14:textId="754BFD9F" w:rsidR="00814841" w:rsidRPr="0037378F" w:rsidRDefault="00814841" w:rsidP="00814841">
      <w:pPr>
        <w:spacing w:after="0" w:line="240" w:lineRule="auto"/>
        <w:rPr>
          <w:rFonts w:eastAsia="Times New Roman" w:cstheme="minorHAnsi"/>
          <w:sz w:val="24"/>
          <w:szCs w:val="24"/>
          <w:lang w:eastAsia="en-IN"/>
        </w:rPr>
      </w:pPr>
    </w:p>
    <w:p w14:paraId="14807DC4" w14:textId="77777777" w:rsidR="00814841" w:rsidRPr="0037378F" w:rsidRDefault="00814841" w:rsidP="00814841">
      <w:pPr>
        <w:spacing w:before="100" w:beforeAutospacing="1" w:after="100" w:afterAutospacing="1" w:line="240" w:lineRule="auto"/>
        <w:outlineLvl w:val="2"/>
        <w:rPr>
          <w:rFonts w:eastAsia="Times New Roman" w:cstheme="minorHAnsi"/>
          <w:b/>
          <w:bCs/>
          <w:sz w:val="27"/>
          <w:szCs w:val="27"/>
          <w:lang w:eastAsia="en-IN"/>
        </w:rPr>
      </w:pPr>
      <w:r w:rsidRPr="0037378F">
        <w:rPr>
          <w:rFonts w:eastAsia="Times New Roman" w:cstheme="minorHAnsi"/>
          <w:b/>
          <w:bCs/>
          <w:sz w:val="27"/>
          <w:szCs w:val="27"/>
          <w:lang w:eastAsia="en-IN"/>
        </w:rPr>
        <w:t>Documentation and Reporting</w:t>
      </w:r>
    </w:p>
    <w:p w14:paraId="2065941C" w14:textId="77777777" w:rsidR="00814841" w:rsidRPr="00AB5902" w:rsidRDefault="00814841" w:rsidP="00814841">
      <w:pPr>
        <w:numPr>
          <w:ilvl w:val="0"/>
          <w:numId w:val="2"/>
        </w:numPr>
        <w:spacing w:before="100" w:beforeAutospacing="1" w:after="100" w:afterAutospacing="1" w:line="240" w:lineRule="auto"/>
        <w:rPr>
          <w:rFonts w:eastAsia="Times New Roman" w:cstheme="minorHAnsi"/>
          <w:lang w:eastAsia="en-IN"/>
        </w:rPr>
      </w:pPr>
      <w:r w:rsidRPr="00AB5902">
        <w:rPr>
          <w:rFonts w:eastAsia="Times New Roman" w:cstheme="minorHAnsi"/>
          <w:b/>
          <w:bCs/>
          <w:lang w:eastAsia="en-IN"/>
        </w:rPr>
        <w:t>Monthly Reports</w:t>
      </w:r>
      <w:r w:rsidRPr="00AB5902">
        <w:rPr>
          <w:rFonts w:eastAsia="Times New Roman" w:cstheme="minorHAnsi"/>
          <w:lang w:eastAsia="en-IN"/>
        </w:rPr>
        <w:t>: Include detailed analysis of all performance metrics and comparisons with thresholds.</w:t>
      </w:r>
    </w:p>
    <w:p w14:paraId="73EFA9B8" w14:textId="77777777" w:rsidR="00814841" w:rsidRPr="00AB5902" w:rsidRDefault="00814841" w:rsidP="00814841">
      <w:pPr>
        <w:numPr>
          <w:ilvl w:val="0"/>
          <w:numId w:val="2"/>
        </w:numPr>
        <w:spacing w:before="100" w:beforeAutospacing="1" w:after="100" w:afterAutospacing="1" w:line="240" w:lineRule="auto"/>
        <w:rPr>
          <w:rFonts w:eastAsia="Times New Roman" w:cstheme="minorHAnsi"/>
          <w:lang w:eastAsia="en-IN"/>
        </w:rPr>
      </w:pPr>
      <w:r w:rsidRPr="00AB5902">
        <w:rPr>
          <w:rFonts w:eastAsia="Times New Roman" w:cstheme="minorHAnsi"/>
          <w:b/>
          <w:bCs/>
          <w:lang w:eastAsia="en-IN"/>
        </w:rPr>
        <w:t>Escalation Reports</w:t>
      </w:r>
      <w:r w:rsidRPr="00AB5902">
        <w:rPr>
          <w:rFonts w:eastAsia="Times New Roman" w:cstheme="minorHAnsi"/>
          <w:lang w:eastAsia="en-IN"/>
        </w:rPr>
        <w:t>: Prepared when metrics exceed defined thresholds, including root cause analysis and recommended actions.</w:t>
      </w:r>
    </w:p>
    <w:p w14:paraId="4C4EF6D9" w14:textId="77777777" w:rsidR="00814841" w:rsidRPr="00AB5902" w:rsidRDefault="00814841" w:rsidP="00814841">
      <w:pPr>
        <w:numPr>
          <w:ilvl w:val="0"/>
          <w:numId w:val="2"/>
        </w:numPr>
        <w:spacing w:before="100" w:beforeAutospacing="1" w:after="100" w:afterAutospacing="1" w:line="240" w:lineRule="auto"/>
        <w:rPr>
          <w:rFonts w:eastAsia="Times New Roman" w:cstheme="minorHAnsi"/>
          <w:lang w:eastAsia="en-IN"/>
        </w:rPr>
      </w:pPr>
      <w:r w:rsidRPr="00AB5902">
        <w:rPr>
          <w:rFonts w:eastAsia="Times New Roman" w:cstheme="minorHAnsi"/>
          <w:b/>
          <w:bCs/>
          <w:lang w:eastAsia="en-IN"/>
        </w:rPr>
        <w:t>Audit Trails</w:t>
      </w:r>
      <w:r w:rsidRPr="00AB5902">
        <w:rPr>
          <w:rFonts w:eastAsia="Times New Roman" w:cstheme="minorHAnsi"/>
          <w:lang w:eastAsia="en-IN"/>
        </w:rPr>
        <w:t>: Maintain logs of all rule adjustments and performance evaluation activities for accountability.</w:t>
      </w:r>
    </w:p>
    <w:p w14:paraId="3374387F" w14:textId="6A580CDA" w:rsidR="00890D67" w:rsidRPr="00AB5902" w:rsidRDefault="00814841" w:rsidP="00AB5902">
      <w:pPr>
        <w:spacing w:before="100" w:beforeAutospacing="1" w:after="100" w:afterAutospacing="1" w:line="240" w:lineRule="auto"/>
        <w:jc w:val="both"/>
        <w:rPr>
          <w:rFonts w:eastAsia="Times New Roman" w:cstheme="minorHAnsi"/>
          <w:lang w:eastAsia="en-IN"/>
        </w:rPr>
      </w:pPr>
      <w:r w:rsidRPr="00AB5902">
        <w:rPr>
          <w:rFonts w:eastAsia="Times New Roman" w:cstheme="minorHAnsi"/>
          <w:lang w:eastAsia="en-IN"/>
        </w:rPr>
        <w:t>This PMP ensures a robust</w:t>
      </w:r>
      <w:r w:rsidR="00890D67" w:rsidRPr="00AB5902">
        <w:rPr>
          <w:rFonts w:eastAsia="Times New Roman" w:cstheme="minorHAnsi"/>
          <w:lang w:eastAsia="en-IN"/>
        </w:rPr>
        <w:t xml:space="preserve"> industry-leading</w:t>
      </w:r>
      <w:r w:rsidRPr="00AB5902">
        <w:rPr>
          <w:rFonts w:eastAsia="Times New Roman" w:cstheme="minorHAnsi"/>
          <w:lang w:eastAsia="en-IN"/>
        </w:rPr>
        <w:t xml:space="preserve"> framework for </w:t>
      </w:r>
      <w:r w:rsidR="00890D67" w:rsidRPr="00AB5902">
        <w:rPr>
          <w:rFonts w:eastAsia="Times New Roman" w:cstheme="minorHAnsi"/>
          <w:lang w:eastAsia="en-IN"/>
        </w:rPr>
        <w:t xml:space="preserve">performance </w:t>
      </w:r>
      <w:r w:rsidRPr="00AB5902">
        <w:rPr>
          <w:rFonts w:eastAsia="Times New Roman" w:cstheme="minorHAnsi"/>
          <w:lang w:eastAsia="en-IN"/>
        </w:rPr>
        <w:t>monitoring</w:t>
      </w:r>
      <w:r w:rsidR="00890D67" w:rsidRPr="00AB5902">
        <w:rPr>
          <w:rFonts w:eastAsia="Times New Roman" w:cstheme="minorHAnsi"/>
          <w:lang w:eastAsia="en-IN"/>
        </w:rPr>
        <w:t xml:space="preserve"> for fraud detection models, such as</w:t>
      </w:r>
      <w:r w:rsidRPr="00AB5902">
        <w:rPr>
          <w:rFonts w:eastAsia="Times New Roman" w:cstheme="minorHAnsi"/>
          <w:lang w:eastAsia="en-IN"/>
        </w:rPr>
        <w:t xml:space="preserve"> Azure, </w:t>
      </w:r>
      <w:r w:rsidR="00890D67" w:rsidRPr="00AB5902">
        <w:rPr>
          <w:rFonts w:eastAsia="Times New Roman" w:cstheme="minorHAnsi"/>
          <w:lang w:eastAsia="en-IN"/>
        </w:rPr>
        <w:t xml:space="preserve">aligns with </w:t>
      </w:r>
      <w:r w:rsidR="00890D67" w:rsidRPr="00AB5902">
        <w:rPr>
          <w:rFonts w:eastAsia="Times New Roman" w:cstheme="minorHAnsi"/>
          <w:b/>
          <w:bCs/>
          <w:lang w:eastAsia="en-IN"/>
        </w:rPr>
        <w:t>global fraud risk management standards</w:t>
      </w:r>
      <w:r w:rsidR="00890D67" w:rsidRPr="00AB5902">
        <w:rPr>
          <w:rFonts w:eastAsia="Times New Roman" w:cstheme="minorHAnsi"/>
          <w:b/>
          <w:bCs/>
          <w:lang w:eastAsia="en-IN"/>
        </w:rPr>
        <w:t xml:space="preserve"> </w:t>
      </w:r>
      <w:r w:rsidR="00890D67" w:rsidRPr="00AB5902">
        <w:rPr>
          <w:rFonts w:eastAsia="Times New Roman" w:cstheme="minorHAnsi"/>
          <w:lang w:eastAsia="en-IN"/>
        </w:rPr>
        <w:t>to ensure optimal fraud detection while minimizing false positives</w:t>
      </w:r>
      <w:r w:rsidR="00890D67" w:rsidRPr="00AB5902">
        <w:rPr>
          <w:rFonts w:eastAsia="Times New Roman" w:cstheme="minorHAnsi"/>
          <w:lang w:eastAsia="en-IN"/>
        </w:rPr>
        <w:t xml:space="preserve">, </w:t>
      </w:r>
      <w:r w:rsidR="00890D67" w:rsidRPr="00AB5902">
        <w:rPr>
          <w:rFonts w:eastAsia="Times New Roman" w:cstheme="minorHAnsi"/>
          <w:lang w:eastAsia="en-IN"/>
        </w:rPr>
        <w:t>reinforcing the model’s reliability and adaptability in detecting fraudulent activities.</w:t>
      </w:r>
      <w:r w:rsidR="00890D67" w:rsidRPr="00AB5902">
        <w:rPr>
          <w:rFonts w:eastAsia="Times New Roman" w:cstheme="minorHAnsi"/>
          <w:lang w:eastAsia="en-IN"/>
        </w:rPr>
        <w:t xml:space="preserve"> </w:t>
      </w:r>
      <w:r w:rsidR="00890D67" w:rsidRPr="00AB5902">
        <w:rPr>
          <w:rFonts w:eastAsia="Times New Roman" w:cstheme="minorHAnsi"/>
          <w:lang w:eastAsia="en-IN"/>
        </w:rPr>
        <w:t>Continuous evaluation of key performance metrics—such as True Positives (TP), False Positives (FP), Precision, Recall, False Positive Rate (FPR), and Hit Rate—enables organizations to proactively adjust rules, ensuring they remain effective against evolving fraud patterns</w:t>
      </w:r>
      <w:r w:rsidR="00AB5902" w:rsidRPr="00AB5902">
        <w:rPr>
          <w:rFonts w:eastAsia="Times New Roman" w:cstheme="minorHAnsi"/>
          <w:lang w:eastAsia="en-IN"/>
        </w:rPr>
        <w:t>.</w:t>
      </w:r>
    </w:p>
    <w:p w14:paraId="30F3E0B3" w14:textId="77777777" w:rsidR="00AB5902" w:rsidRDefault="00AB5902" w:rsidP="00890D67">
      <w:pPr>
        <w:spacing w:before="100" w:beforeAutospacing="1" w:after="100" w:afterAutospacing="1" w:line="240" w:lineRule="auto"/>
        <w:rPr>
          <w:rFonts w:eastAsia="Times New Roman" w:cstheme="minorHAnsi"/>
          <w:sz w:val="24"/>
          <w:szCs w:val="24"/>
          <w:lang w:eastAsia="en-IN"/>
        </w:rPr>
      </w:pPr>
    </w:p>
    <w:sectPr w:rsidR="00AB5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C1D36"/>
    <w:multiLevelType w:val="multilevel"/>
    <w:tmpl w:val="CBCC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42D29"/>
    <w:multiLevelType w:val="multilevel"/>
    <w:tmpl w:val="56B0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6A369C"/>
    <w:multiLevelType w:val="multilevel"/>
    <w:tmpl w:val="9716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384287">
    <w:abstractNumId w:val="0"/>
  </w:num>
  <w:num w:numId="2" w16cid:durableId="839275405">
    <w:abstractNumId w:val="2"/>
  </w:num>
  <w:num w:numId="3" w16cid:durableId="1186749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41"/>
    <w:rsid w:val="0037378F"/>
    <w:rsid w:val="00814841"/>
    <w:rsid w:val="00890D67"/>
    <w:rsid w:val="0093715C"/>
    <w:rsid w:val="00990261"/>
    <w:rsid w:val="00A54490"/>
    <w:rsid w:val="00AB5902"/>
    <w:rsid w:val="00BE5857"/>
    <w:rsid w:val="00CA2AF9"/>
    <w:rsid w:val="00D27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0BAE"/>
  <w15:chartTrackingRefBased/>
  <w15:docId w15:val="{28CA5085-1F29-4479-9F23-78A64266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D67"/>
  </w:style>
  <w:style w:type="paragraph" w:styleId="Heading3">
    <w:name w:val="heading 3"/>
    <w:basedOn w:val="Normal"/>
    <w:link w:val="Heading3Char"/>
    <w:uiPriority w:val="9"/>
    <w:qFormat/>
    <w:rsid w:val="008148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484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148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14841"/>
    <w:rPr>
      <w:b/>
      <w:bCs/>
    </w:rPr>
  </w:style>
  <w:style w:type="character" w:styleId="Hyperlink">
    <w:name w:val="Hyperlink"/>
    <w:basedOn w:val="DefaultParagraphFont"/>
    <w:uiPriority w:val="99"/>
    <w:unhideWhenUsed/>
    <w:rsid w:val="00990261"/>
    <w:rPr>
      <w:color w:val="0563C1" w:themeColor="hyperlink"/>
      <w:u w:val="single"/>
    </w:rPr>
  </w:style>
  <w:style w:type="character" w:styleId="UnresolvedMention">
    <w:name w:val="Unresolved Mention"/>
    <w:basedOn w:val="DefaultParagraphFont"/>
    <w:uiPriority w:val="99"/>
    <w:semiHidden/>
    <w:unhideWhenUsed/>
    <w:rsid w:val="00990261"/>
    <w:rPr>
      <w:color w:val="605E5C"/>
      <w:shd w:val="clear" w:color="auto" w:fill="E1DFDD"/>
    </w:rPr>
  </w:style>
  <w:style w:type="table" w:styleId="TableGrid">
    <w:name w:val="Table Grid"/>
    <w:basedOn w:val="TableNormal"/>
    <w:uiPriority w:val="39"/>
    <w:rsid w:val="00373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266653">
      <w:bodyDiv w:val="1"/>
      <w:marLeft w:val="0"/>
      <w:marRight w:val="0"/>
      <w:marTop w:val="0"/>
      <w:marBottom w:val="0"/>
      <w:divBdr>
        <w:top w:val="none" w:sz="0" w:space="0" w:color="auto"/>
        <w:left w:val="none" w:sz="0" w:space="0" w:color="auto"/>
        <w:bottom w:val="none" w:sz="0" w:space="0" w:color="auto"/>
        <w:right w:val="none" w:sz="0" w:space="0" w:color="auto"/>
      </w:divBdr>
    </w:div>
    <w:div w:id="563687568">
      <w:bodyDiv w:val="1"/>
      <w:marLeft w:val="0"/>
      <w:marRight w:val="0"/>
      <w:marTop w:val="0"/>
      <w:marBottom w:val="0"/>
      <w:divBdr>
        <w:top w:val="none" w:sz="0" w:space="0" w:color="auto"/>
        <w:left w:val="none" w:sz="0" w:space="0" w:color="auto"/>
        <w:bottom w:val="none" w:sz="0" w:space="0" w:color="auto"/>
        <w:right w:val="none" w:sz="0" w:space="0" w:color="auto"/>
      </w:divBdr>
    </w:div>
    <w:div w:id="1152214255">
      <w:bodyDiv w:val="1"/>
      <w:marLeft w:val="0"/>
      <w:marRight w:val="0"/>
      <w:marTop w:val="0"/>
      <w:marBottom w:val="0"/>
      <w:divBdr>
        <w:top w:val="none" w:sz="0" w:space="0" w:color="auto"/>
        <w:left w:val="none" w:sz="0" w:space="0" w:color="auto"/>
        <w:bottom w:val="none" w:sz="0" w:space="0" w:color="auto"/>
        <w:right w:val="none" w:sz="0" w:space="0" w:color="auto"/>
      </w:divBdr>
    </w:div>
    <w:div w:id="1603997386">
      <w:bodyDiv w:val="1"/>
      <w:marLeft w:val="0"/>
      <w:marRight w:val="0"/>
      <w:marTop w:val="0"/>
      <w:marBottom w:val="0"/>
      <w:divBdr>
        <w:top w:val="none" w:sz="0" w:space="0" w:color="auto"/>
        <w:left w:val="none" w:sz="0" w:space="0" w:color="auto"/>
        <w:bottom w:val="none" w:sz="0" w:space="0" w:color="auto"/>
        <w:right w:val="none" w:sz="0" w:space="0" w:color="auto"/>
      </w:divBdr>
    </w:div>
    <w:div w:id="1697997958">
      <w:bodyDiv w:val="1"/>
      <w:marLeft w:val="0"/>
      <w:marRight w:val="0"/>
      <w:marTop w:val="0"/>
      <w:marBottom w:val="0"/>
      <w:divBdr>
        <w:top w:val="none" w:sz="0" w:space="0" w:color="auto"/>
        <w:left w:val="none" w:sz="0" w:space="0" w:color="auto"/>
        <w:bottom w:val="none" w:sz="0" w:space="0" w:color="auto"/>
        <w:right w:val="none" w:sz="0" w:space="0" w:color="auto"/>
      </w:divBdr>
    </w:div>
    <w:div w:id="1761367321">
      <w:bodyDiv w:val="1"/>
      <w:marLeft w:val="0"/>
      <w:marRight w:val="0"/>
      <w:marTop w:val="0"/>
      <w:marBottom w:val="0"/>
      <w:divBdr>
        <w:top w:val="none" w:sz="0" w:space="0" w:color="auto"/>
        <w:left w:val="none" w:sz="0" w:space="0" w:color="auto"/>
        <w:bottom w:val="none" w:sz="0" w:space="0" w:color="auto"/>
        <w:right w:val="none" w:sz="0" w:space="0" w:color="auto"/>
      </w:divBdr>
    </w:div>
    <w:div w:id="193019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3</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Singhal</dc:creator>
  <cp:keywords/>
  <dc:description/>
  <cp:lastModifiedBy>Uttam Kumar Gupta</cp:lastModifiedBy>
  <cp:revision>3</cp:revision>
  <dcterms:created xsi:type="dcterms:W3CDTF">2025-01-31T11:03:00Z</dcterms:created>
  <dcterms:modified xsi:type="dcterms:W3CDTF">2025-02-02T21:49:00Z</dcterms:modified>
</cp:coreProperties>
</file>