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F9F7" w14:textId="5FA67AEA" w:rsidR="0056473C" w:rsidRPr="00B20E50" w:rsidRDefault="0056473C" w:rsidP="0056473C">
      <w:pPr>
        <w:rPr>
          <w:b/>
          <w:bCs/>
          <w:sz w:val="24"/>
          <w:szCs w:val="24"/>
          <w:u w:val="single"/>
        </w:rPr>
      </w:pPr>
      <w:bookmarkStart w:id="0" w:name="_Hlk189139697"/>
      <w:r w:rsidRPr="00B20E50">
        <w:rPr>
          <w:b/>
          <w:bCs/>
          <w:sz w:val="24"/>
          <w:szCs w:val="24"/>
          <w:u w:val="single"/>
        </w:rPr>
        <w:t>Performance Monitoring Plan (PMP) for the LexisNexis Fraud Intelligence Model</w:t>
      </w:r>
    </w:p>
    <w:bookmarkEnd w:id="0"/>
    <w:p w14:paraId="4638447C" w14:textId="77777777" w:rsidR="0056473C" w:rsidRPr="002716A1" w:rsidRDefault="0056473C" w:rsidP="0056473C">
      <w:pPr>
        <w:rPr>
          <w:b/>
          <w:bCs/>
        </w:rPr>
      </w:pPr>
      <w:r w:rsidRPr="002716A1">
        <w:rPr>
          <w:b/>
          <w:bCs/>
        </w:rPr>
        <w:t>1. Introduction</w:t>
      </w:r>
    </w:p>
    <w:p w14:paraId="77A81505" w14:textId="68D5146D" w:rsidR="0056473C" w:rsidRDefault="0056473C" w:rsidP="0056473C">
      <w:r w:rsidRPr="002716A1">
        <w:t xml:space="preserve">This document </w:t>
      </w:r>
      <w:r>
        <w:t xml:space="preserve">has been </w:t>
      </w:r>
      <w:r w:rsidRPr="002716A1">
        <w:t xml:space="preserve">structured </w:t>
      </w:r>
      <w:r>
        <w:t xml:space="preserve">to address </w:t>
      </w:r>
      <w:r w:rsidRPr="002716A1">
        <w:t>the Model Risk Management (MRM) finding regarding ongoing performance monitoring (OPM) requirements for the LexisNexis Fraud Intelligence Model. The plan ensures that the model continues to effectively detect fraudulent activities while remaining stable, accurate, and compliant with regulatory requirements.</w:t>
      </w:r>
    </w:p>
    <w:p w14:paraId="6A7C5640" w14:textId="33C8429F" w:rsidR="00AF3935" w:rsidRPr="002716A1" w:rsidRDefault="00AF3935" w:rsidP="00AF3935">
      <w:pPr>
        <w:rPr>
          <w:b/>
          <w:bCs/>
        </w:rPr>
      </w:pPr>
      <w:r>
        <w:rPr>
          <w:b/>
          <w:bCs/>
        </w:rPr>
        <w:t>2</w:t>
      </w:r>
      <w:r w:rsidRPr="002716A1">
        <w:rPr>
          <w:b/>
          <w:bCs/>
        </w:rPr>
        <w:t>. Data Quality Monitoring</w:t>
      </w:r>
    </w:p>
    <w:p w14:paraId="3F05B708" w14:textId="77777777" w:rsidR="00AF3935" w:rsidRPr="002716A1" w:rsidRDefault="00AF3935" w:rsidP="00AF3935">
      <w:pPr>
        <w:numPr>
          <w:ilvl w:val="0"/>
          <w:numId w:val="13"/>
        </w:numPr>
      </w:pPr>
      <w:r w:rsidRPr="002716A1">
        <w:rPr>
          <w:b/>
          <w:bCs/>
        </w:rPr>
        <w:t>Basic Statistical Checks:</w:t>
      </w:r>
      <w:r w:rsidRPr="002716A1">
        <w:t xml:space="preserve"> Regular evaluation of mean, standard deviation, minimum and maximum ranges, percentiles, and ratios.</w:t>
      </w:r>
    </w:p>
    <w:p w14:paraId="2F9B0E32" w14:textId="0F9D71B7" w:rsidR="00AF3935" w:rsidRPr="002716A1" w:rsidRDefault="00AF3935" w:rsidP="0056473C">
      <w:pPr>
        <w:numPr>
          <w:ilvl w:val="0"/>
          <w:numId w:val="13"/>
        </w:numPr>
      </w:pPr>
      <w:r w:rsidRPr="002716A1">
        <w:rPr>
          <w:b/>
          <w:bCs/>
        </w:rPr>
        <w:t>Kolmogorov-Smirnov (K-S) Test:</w:t>
      </w:r>
      <w:r w:rsidRPr="002716A1">
        <w:t xml:space="preserve"> A two-sample </w:t>
      </w:r>
      <w:r w:rsidRPr="00AF3935">
        <w:t>non-parametric</w:t>
      </w:r>
      <w:r>
        <w:t xml:space="preserve"> </w:t>
      </w:r>
      <w:r w:rsidRPr="002716A1">
        <w:t>statistical test to measure distribution shifts.</w:t>
      </w:r>
      <w:r>
        <w:t xml:space="preserve"> Its essential in </w:t>
      </w:r>
      <w:r w:rsidRPr="00AF3935">
        <w:t xml:space="preserve">monitoring customer transaction data, a significant shift in the distribution of transaction amounts might indicate issues such as errors in data collection or changes in customer </w:t>
      </w:r>
      <w:r w:rsidRPr="00AF3935">
        <w:t>behaviour</w:t>
      </w:r>
      <w:r w:rsidRPr="00AF3935">
        <w:t>.</w:t>
      </w:r>
    </w:p>
    <w:p w14:paraId="06280E7E" w14:textId="26AAA12C" w:rsidR="0056473C" w:rsidRPr="002716A1" w:rsidRDefault="00AF3935" w:rsidP="0056473C">
      <w:pPr>
        <w:rPr>
          <w:b/>
          <w:bCs/>
        </w:rPr>
      </w:pPr>
      <w:r>
        <w:rPr>
          <w:b/>
          <w:bCs/>
        </w:rPr>
        <w:t>3</w:t>
      </w:r>
      <w:r w:rsidR="0056473C" w:rsidRPr="002716A1">
        <w:rPr>
          <w:b/>
          <w:bCs/>
        </w:rPr>
        <w:t>. Key Performance Metrics</w:t>
      </w:r>
    </w:p>
    <w:p w14:paraId="49C0A69A" w14:textId="77777777" w:rsidR="0056473C" w:rsidRPr="002716A1" w:rsidRDefault="0056473C" w:rsidP="0056473C">
      <w:r w:rsidRPr="002716A1">
        <w:t>The model's performance is assessed using the following key indicators:</w:t>
      </w:r>
    </w:p>
    <w:p w14:paraId="7EC44FF0" w14:textId="4656B7A7" w:rsidR="0056473C" w:rsidRPr="002716A1" w:rsidRDefault="00AF3935" w:rsidP="0056473C">
      <w:pPr>
        <w:rPr>
          <w:b/>
          <w:bCs/>
        </w:rPr>
      </w:pPr>
      <w:r>
        <w:rPr>
          <w:b/>
          <w:bCs/>
        </w:rPr>
        <w:t>3</w:t>
      </w:r>
      <w:r w:rsidR="0056473C" w:rsidRPr="002716A1">
        <w:rPr>
          <w:b/>
          <w:bCs/>
        </w:rPr>
        <w:t>.1 Discriminatory Power</w:t>
      </w:r>
    </w:p>
    <w:p w14:paraId="25FF275B" w14:textId="13989F9F" w:rsidR="0056473C" w:rsidRPr="002716A1" w:rsidRDefault="0056473C" w:rsidP="0056473C">
      <w:pPr>
        <w:numPr>
          <w:ilvl w:val="0"/>
          <w:numId w:val="2"/>
        </w:numPr>
      </w:pPr>
      <w:r w:rsidRPr="002716A1">
        <w:rPr>
          <w:b/>
          <w:bCs/>
        </w:rPr>
        <w:t>Area Under the Curve (AUC)</w:t>
      </w:r>
      <w:r w:rsidRPr="002716A1">
        <w:t xml:space="preserve"> – Measures the model’s ability to distinguish between fraudulent and legitimate transactions.</w:t>
      </w:r>
    </w:p>
    <w:p w14:paraId="489594F1" w14:textId="6186C28C" w:rsidR="0056473C" w:rsidRPr="002716A1" w:rsidRDefault="00AF3935" w:rsidP="0056473C">
      <w:pPr>
        <w:rPr>
          <w:b/>
          <w:bCs/>
        </w:rPr>
      </w:pPr>
      <w:r>
        <w:rPr>
          <w:b/>
          <w:bCs/>
        </w:rPr>
        <w:t>3</w:t>
      </w:r>
      <w:r w:rsidR="0056473C" w:rsidRPr="002716A1">
        <w:rPr>
          <w:b/>
          <w:bCs/>
        </w:rPr>
        <w:t>.2 Model Stability</w:t>
      </w:r>
    </w:p>
    <w:p w14:paraId="146BEFCC" w14:textId="227E511C" w:rsidR="0056473C" w:rsidRPr="002716A1" w:rsidRDefault="0056473C" w:rsidP="0056473C">
      <w:pPr>
        <w:numPr>
          <w:ilvl w:val="0"/>
          <w:numId w:val="3"/>
        </w:numPr>
      </w:pPr>
      <w:r w:rsidRPr="002716A1">
        <w:rPr>
          <w:b/>
          <w:bCs/>
        </w:rPr>
        <w:t>Population Stability Index (PSI)</w:t>
      </w:r>
      <w:r w:rsidRPr="002716A1">
        <w:t xml:space="preserve"> – Detects shifts in input feature distributions over time.</w:t>
      </w:r>
    </w:p>
    <w:p w14:paraId="0BDB131E" w14:textId="4F4FFCE1" w:rsidR="0056473C" w:rsidRPr="002716A1" w:rsidRDefault="00AF3935" w:rsidP="0056473C">
      <w:pPr>
        <w:rPr>
          <w:b/>
          <w:bCs/>
        </w:rPr>
      </w:pPr>
      <w:r>
        <w:rPr>
          <w:b/>
          <w:bCs/>
        </w:rPr>
        <w:t>3</w:t>
      </w:r>
      <w:r w:rsidR="0056473C" w:rsidRPr="002716A1">
        <w:rPr>
          <w:b/>
          <w:bCs/>
        </w:rPr>
        <w:t>.3 Fraud Detection Performance</w:t>
      </w:r>
    </w:p>
    <w:p w14:paraId="7EFA5138" w14:textId="77777777" w:rsidR="0056473C" w:rsidRPr="002716A1" w:rsidRDefault="0056473C" w:rsidP="0056473C">
      <w:pPr>
        <w:numPr>
          <w:ilvl w:val="0"/>
          <w:numId w:val="4"/>
        </w:numPr>
      </w:pPr>
      <w:r w:rsidRPr="002716A1">
        <w:rPr>
          <w:b/>
          <w:bCs/>
        </w:rPr>
        <w:t>Fraud Detection Rate (FDR)</w:t>
      </w:r>
      <w:r w:rsidRPr="002716A1">
        <w:t xml:space="preserve"> – Proportion of flagged transactions that are confirmed as fraud.</w:t>
      </w:r>
    </w:p>
    <w:p w14:paraId="7182AD68" w14:textId="3F1B5E05" w:rsidR="0056473C" w:rsidRPr="002716A1" w:rsidRDefault="00AF3935" w:rsidP="0056473C">
      <w:pPr>
        <w:rPr>
          <w:b/>
          <w:bCs/>
        </w:rPr>
      </w:pPr>
      <w:r>
        <w:rPr>
          <w:b/>
          <w:bCs/>
        </w:rPr>
        <w:t>4</w:t>
      </w:r>
      <w:r w:rsidR="0056473C" w:rsidRPr="002716A1">
        <w:rPr>
          <w:b/>
          <w:bCs/>
        </w:rPr>
        <w:t>. Performance Metric Thresholds &amp; Breach Management</w:t>
      </w:r>
    </w:p>
    <w:p w14:paraId="3D43676B" w14:textId="77777777" w:rsidR="0056473C" w:rsidRDefault="0056473C" w:rsidP="0056473C">
      <w:r w:rsidRPr="002716A1">
        <w:t>The model's performance is monitored against predefined thresholds categorized as follows:</w:t>
      </w:r>
    </w:p>
    <w:tbl>
      <w:tblPr>
        <w:tblStyle w:val="TableGrid"/>
        <w:tblW w:w="0" w:type="auto"/>
        <w:tblLook w:val="04A0" w:firstRow="1" w:lastRow="0" w:firstColumn="1" w:lastColumn="0" w:noHBand="0" w:noVBand="1"/>
      </w:tblPr>
      <w:tblGrid>
        <w:gridCol w:w="2254"/>
        <w:gridCol w:w="1994"/>
        <w:gridCol w:w="2410"/>
        <w:gridCol w:w="2358"/>
      </w:tblGrid>
      <w:tr w:rsidR="0056473C" w14:paraId="5ADA6134" w14:textId="77777777" w:rsidTr="00B20E50">
        <w:trPr>
          <w:trHeight w:val="618"/>
        </w:trPr>
        <w:tc>
          <w:tcPr>
            <w:tcW w:w="2254" w:type="dxa"/>
            <w:vAlign w:val="center"/>
          </w:tcPr>
          <w:p w14:paraId="71FD18D3" w14:textId="12BFB0CE" w:rsidR="0056473C" w:rsidRDefault="0056473C" w:rsidP="00E50E8C">
            <w:pPr>
              <w:jc w:val="center"/>
            </w:pPr>
            <w:r w:rsidRPr="002716A1">
              <w:rPr>
                <w:b/>
                <w:bCs/>
              </w:rPr>
              <w:t>Metric</w:t>
            </w:r>
            <w:r w:rsidR="00E50E8C">
              <w:rPr>
                <w:b/>
                <w:bCs/>
              </w:rPr>
              <w:t>s</w:t>
            </w:r>
            <w:r w:rsidRPr="002716A1">
              <w:rPr>
                <w:b/>
                <w:bCs/>
              </w:rPr>
              <w:t xml:space="preserve"> Category</w:t>
            </w:r>
          </w:p>
        </w:tc>
        <w:tc>
          <w:tcPr>
            <w:tcW w:w="1994" w:type="dxa"/>
            <w:vAlign w:val="center"/>
          </w:tcPr>
          <w:p w14:paraId="15AE5D4D" w14:textId="7F3BA397" w:rsidR="0056473C" w:rsidRDefault="0056473C" w:rsidP="00E50E8C">
            <w:pPr>
              <w:jc w:val="center"/>
            </w:pPr>
            <w:r w:rsidRPr="002716A1">
              <w:rPr>
                <w:b/>
                <w:bCs/>
              </w:rPr>
              <w:t>Green (Optimal)</w:t>
            </w:r>
          </w:p>
        </w:tc>
        <w:tc>
          <w:tcPr>
            <w:tcW w:w="2410" w:type="dxa"/>
            <w:vAlign w:val="center"/>
          </w:tcPr>
          <w:p w14:paraId="5D3E162F" w14:textId="4EDF7FDD" w:rsidR="0056473C" w:rsidRDefault="00FB50F2" w:rsidP="00E50E8C">
            <w:pPr>
              <w:jc w:val="center"/>
            </w:pPr>
            <w:r>
              <w:rPr>
                <w:b/>
                <w:bCs/>
              </w:rPr>
              <w:t>Amber</w:t>
            </w:r>
            <w:r w:rsidR="0056473C" w:rsidRPr="002716A1">
              <w:rPr>
                <w:b/>
                <w:bCs/>
              </w:rPr>
              <w:t xml:space="preserve"> (Warning)</w:t>
            </w:r>
          </w:p>
        </w:tc>
        <w:tc>
          <w:tcPr>
            <w:tcW w:w="2358" w:type="dxa"/>
            <w:vAlign w:val="center"/>
          </w:tcPr>
          <w:p w14:paraId="31E5E04B" w14:textId="269785EB" w:rsidR="0056473C" w:rsidRDefault="0056473C" w:rsidP="00E50E8C">
            <w:pPr>
              <w:jc w:val="center"/>
            </w:pPr>
            <w:r w:rsidRPr="002716A1">
              <w:rPr>
                <w:b/>
                <w:bCs/>
              </w:rPr>
              <w:t xml:space="preserve">Red (Critical </w:t>
            </w:r>
            <w:r>
              <w:rPr>
                <w:b/>
                <w:bCs/>
              </w:rPr>
              <w:t>–</w:t>
            </w:r>
            <w:r w:rsidRPr="002716A1">
              <w:rPr>
                <w:b/>
                <w:bCs/>
              </w:rPr>
              <w:t xml:space="preserve"> Action</w:t>
            </w:r>
            <w:r>
              <w:rPr>
                <w:b/>
                <w:bCs/>
              </w:rPr>
              <w:t xml:space="preserve"> </w:t>
            </w:r>
            <w:r w:rsidRPr="002716A1">
              <w:rPr>
                <w:b/>
                <w:bCs/>
              </w:rPr>
              <w:t>Required)</w:t>
            </w:r>
          </w:p>
        </w:tc>
      </w:tr>
      <w:tr w:rsidR="0056473C" w14:paraId="5B600BB1" w14:textId="77777777" w:rsidTr="00B20E50">
        <w:trPr>
          <w:trHeight w:val="481"/>
        </w:trPr>
        <w:tc>
          <w:tcPr>
            <w:tcW w:w="2254" w:type="dxa"/>
            <w:vAlign w:val="center"/>
          </w:tcPr>
          <w:p w14:paraId="06CFFE6E" w14:textId="71A98A09" w:rsidR="0056473C" w:rsidRPr="00E50E8C" w:rsidRDefault="00FB50F2" w:rsidP="00E50E8C">
            <w:pPr>
              <w:jc w:val="center"/>
              <w:rPr>
                <w:sz w:val="20"/>
                <w:szCs w:val="20"/>
              </w:rPr>
            </w:pPr>
            <w:r>
              <w:rPr>
                <w:sz w:val="20"/>
                <w:szCs w:val="20"/>
              </w:rPr>
              <w:t>K</w:t>
            </w:r>
            <w:r w:rsidR="00B20E50">
              <w:rPr>
                <w:sz w:val="20"/>
                <w:szCs w:val="20"/>
              </w:rPr>
              <w:t>-S</w:t>
            </w:r>
          </w:p>
        </w:tc>
        <w:tc>
          <w:tcPr>
            <w:tcW w:w="1994" w:type="dxa"/>
            <w:vAlign w:val="center"/>
          </w:tcPr>
          <w:p w14:paraId="74608312" w14:textId="58A334FB" w:rsidR="0056473C" w:rsidRPr="00E50E8C" w:rsidRDefault="00FB50F2" w:rsidP="00E50E8C">
            <w:pPr>
              <w:jc w:val="center"/>
              <w:rPr>
                <w:sz w:val="20"/>
                <w:szCs w:val="20"/>
              </w:rPr>
            </w:pPr>
            <w:r>
              <w:rPr>
                <w:rFonts w:cstheme="minorHAnsi"/>
                <w:sz w:val="20"/>
                <w:szCs w:val="20"/>
              </w:rPr>
              <w:t>≤</w:t>
            </w:r>
            <w:r w:rsidR="0056473C" w:rsidRPr="002716A1">
              <w:rPr>
                <w:sz w:val="20"/>
                <w:szCs w:val="20"/>
              </w:rPr>
              <w:t>0.</w:t>
            </w:r>
            <w:r>
              <w:rPr>
                <w:sz w:val="20"/>
                <w:szCs w:val="20"/>
              </w:rPr>
              <w:t>10</w:t>
            </w:r>
          </w:p>
        </w:tc>
        <w:tc>
          <w:tcPr>
            <w:tcW w:w="2410" w:type="dxa"/>
            <w:vAlign w:val="center"/>
          </w:tcPr>
          <w:p w14:paraId="359143D3" w14:textId="0F685462" w:rsidR="0056473C" w:rsidRPr="00E50E8C" w:rsidRDefault="0056473C" w:rsidP="00E50E8C">
            <w:pPr>
              <w:jc w:val="center"/>
              <w:rPr>
                <w:sz w:val="20"/>
                <w:szCs w:val="20"/>
              </w:rPr>
            </w:pPr>
            <w:r w:rsidRPr="002716A1">
              <w:rPr>
                <w:sz w:val="20"/>
                <w:szCs w:val="20"/>
              </w:rPr>
              <w:t>0.</w:t>
            </w:r>
            <w:r w:rsidR="00FB50F2">
              <w:rPr>
                <w:sz w:val="20"/>
                <w:szCs w:val="20"/>
              </w:rPr>
              <w:t>10</w:t>
            </w:r>
            <w:r w:rsidRPr="002716A1">
              <w:rPr>
                <w:sz w:val="20"/>
                <w:szCs w:val="20"/>
              </w:rPr>
              <w:t xml:space="preserve"> - 0.</w:t>
            </w:r>
            <w:r w:rsidR="00FB50F2">
              <w:rPr>
                <w:sz w:val="20"/>
                <w:szCs w:val="20"/>
              </w:rPr>
              <w:t>20</w:t>
            </w:r>
          </w:p>
        </w:tc>
        <w:tc>
          <w:tcPr>
            <w:tcW w:w="2358" w:type="dxa"/>
            <w:vAlign w:val="center"/>
          </w:tcPr>
          <w:p w14:paraId="20E3B9EA" w14:textId="364C03EE" w:rsidR="0056473C" w:rsidRPr="00E50E8C" w:rsidRDefault="00FB50F2" w:rsidP="00E50E8C">
            <w:pPr>
              <w:jc w:val="center"/>
              <w:rPr>
                <w:sz w:val="20"/>
                <w:szCs w:val="20"/>
              </w:rPr>
            </w:pPr>
            <w:r>
              <w:rPr>
                <w:sz w:val="20"/>
                <w:szCs w:val="20"/>
              </w:rPr>
              <w:t>&gt;</w:t>
            </w:r>
            <w:r w:rsidR="0056473C" w:rsidRPr="002716A1">
              <w:rPr>
                <w:sz w:val="20"/>
                <w:szCs w:val="20"/>
              </w:rPr>
              <w:t>0.</w:t>
            </w:r>
            <w:r>
              <w:rPr>
                <w:sz w:val="20"/>
                <w:szCs w:val="20"/>
              </w:rPr>
              <w:t>20</w:t>
            </w:r>
          </w:p>
        </w:tc>
      </w:tr>
      <w:tr w:rsidR="00FB50F2" w14:paraId="41B5B56B" w14:textId="77777777" w:rsidTr="00B20E50">
        <w:trPr>
          <w:trHeight w:val="558"/>
        </w:trPr>
        <w:tc>
          <w:tcPr>
            <w:tcW w:w="2254" w:type="dxa"/>
            <w:vAlign w:val="center"/>
          </w:tcPr>
          <w:p w14:paraId="4B87A19D" w14:textId="0BBE403E" w:rsidR="00FB50F2" w:rsidRPr="002716A1" w:rsidRDefault="00FB50F2" w:rsidP="00FB50F2">
            <w:pPr>
              <w:jc w:val="center"/>
              <w:rPr>
                <w:sz w:val="20"/>
                <w:szCs w:val="20"/>
              </w:rPr>
            </w:pPr>
            <w:r w:rsidRPr="002716A1">
              <w:rPr>
                <w:sz w:val="20"/>
                <w:szCs w:val="20"/>
              </w:rPr>
              <w:t>PSI</w:t>
            </w:r>
          </w:p>
        </w:tc>
        <w:tc>
          <w:tcPr>
            <w:tcW w:w="1994" w:type="dxa"/>
            <w:vAlign w:val="center"/>
          </w:tcPr>
          <w:p w14:paraId="2D4FD99B" w14:textId="1CB34798" w:rsidR="00FB50F2" w:rsidRPr="002716A1" w:rsidRDefault="00FB50F2" w:rsidP="00FB50F2">
            <w:pPr>
              <w:jc w:val="center"/>
              <w:rPr>
                <w:sz w:val="20"/>
                <w:szCs w:val="20"/>
              </w:rPr>
            </w:pPr>
            <w:r w:rsidRPr="002716A1">
              <w:rPr>
                <w:sz w:val="20"/>
                <w:szCs w:val="20"/>
              </w:rPr>
              <w:t>&lt;0.1</w:t>
            </w:r>
          </w:p>
        </w:tc>
        <w:tc>
          <w:tcPr>
            <w:tcW w:w="2410" w:type="dxa"/>
            <w:vAlign w:val="center"/>
          </w:tcPr>
          <w:p w14:paraId="6B5BD36B" w14:textId="24CE471F" w:rsidR="00FB50F2" w:rsidRPr="002716A1" w:rsidRDefault="00FB50F2" w:rsidP="00FB50F2">
            <w:pPr>
              <w:jc w:val="center"/>
              <w:rPr>
                <w:sz w:val="20"/>
                <w:szCs w:val="20"/>
              </w:rPr>
            </w:pPr>
            <w:r w:rsidRPr="002716A1">
              <w:rPr>
                <w:sz w:val="20"/>
                <w:szCs w:val="20"/>
              </w:rPr>
              <w:t>0.1 - 0.25</w:t>
            </w:r>
          </w:p>
        </w:tc>
        <w:tc>
          <w:tcPr>
            <w:tcW w:w="2358" w:type="dxa"/>
            <w:vAlign w:val="center"/>
          </w:tcPr>
          <w:p w14:paraId="3CCA8DFB" w14:textId="188B2CE2" w:rsidR="00FB50F2" w:rsidRPr="002716A1" w:rsidRDefault="00FB50F2" w:rsidP="00FB50F2">
            <w:pPr>
              <w:jc w:val="center"/>
              <w:rPr>
                <w:sz w:val="20"/>
                <w:szCs w:val="20"/>
              </w:rPr>
            </w:pPr>
            <w:r w:rsidRPr="002716A1">
              <w:rPr>
                <w:sz w:val="20"/>
                <w:szCs w:val="20"/>
              </w:rPr>
              <w:t>&gt;0.25</w:t>
            </w:r>
          </w:p>
        </w:tc>
      </w:tr>
      <w:tr w:rsidR="00FB50F2" w14:paraId="37C67F11" w14:textId="77777777" w:rsidTr="00B20E50">
        <w:trPr>
          <w:trHeight w:val="558"/>
        </w:trPr>
        <w:tc>
          <w:tcPr>
            <w:tcW w:w="2254" w:type="dxa"/>
            <w:vAlign w:val="center"/>
          </w:tcPr>
          <w:p w14:paraId="0EAD5C4C" w14:textId="0E6378CD" w:rsidR="00FB50F2" w:rsidRPr="00E50E8C" w:rsidRDefault="00FB50F2" w:rsidP="00FB50F2">
            <w:pPr>
              <w:jc w:val="center"/>
              <w:rPr>
                <w:sz w:val="20"/>
                <w:szCs w:val="20"/>
              </w:rPr>
            </w:pPr>
            <w:r w:rsidRPr="002716A1">
              <w:rPr>
                <w:sz w:val="20"/>
                <w:szCs w:val="20"/>
              </w:rPr>
              <w:t>AUC</w:t>
            </w:r>
          </w:p>
        </w:tc>
        <w:tc>
          <w:tcPr>
            <w:tcW w:w="1994" w:type="dxa"/>
            <w:vAlign w:val="center"/>
          </w:tcPr>
          <w:p w14:paraId="2BBA7EAA" w14:textId="30E3436E" w:rsidR="00FB50F2" w:rsidRPr="00E50E8C" w:rsidRDefault="00FB50F2" w:rsidP="00FB50F2">
            <w:pPr>
              <w:jc w:val="center"/>
              <w:rPr>
                <w:sz w:val="20"/>
                <w:szCs w:val="20"/>
              </w:rPr>
            </w:pPr>
            <w:r w:rsidRPr="002716A1">
              <w:rPr>
                <w:sz w:val="20"/>
                <w:szCs w:val="20"/>
              </w:rPr>
              <w:t>&gt;0.85</w:t>
            </w:r>
          </w:p>
        </w:tc>
        <w:tc>
          <w:tcPr>
            <w:tcW w:w="2410" w:type="dxa"/>
            <w:vAlign w:val="center"/>
          </w:tcPr>
          <w:p w14:paraId="2C9A1C4C" w14:textId="77E7BFAD" w:rsidR="00FB50F2" w:rsidRPr="00E50E8C" w:rsidRDefault="00FB50F2" w:rsidP="00FB50F2">
            <w:pPr>
              <w:jc w:val="center"/>
              <w:rPr>
                <w:sz w:val="20"/>
                <w:szCs w:val="20"/>
              </w:rPr>
            </w:pPr>
            <w:r w:rsidRPr="002716A1">
              <w:rPr>
                <w:sz w:val="20"/>
                <w:szCs w:val="20"/>
              </w:rPr>
              <w:t>0.75 - 0.85</w:t>
            </w:r>
          </w:p>
        </w:tc>
        <w:tc>
          <w:tcPr>
            <w:tcW w:w="2358" w:type="dxa"/>
            <w:vAlign w:val="center"/>
          </w:tcPr>
          <w:p w14:paraId="2F3C4F99" w14:textId="7B256DD0" w:rsidR="00FB50F2" w:rsidRPr="00E50E8C" w:rsidRDefault="00FB50F2" w:rsidP="00FB50F2">
            <w:pPr>
              <w:jc w:val="center"/>
              <w:rPr>
                <w:sz w:val="20"/>
                <w:szCs w:val="20"/>
              </w:rPr>
            </w:pPr>
            <w:r w:rsidRPr="002716A1">
              <w:rPr>
                <w:sz w:val="20"/>
                <w:szCs w:val="20"/>
              </w:rPr>
              <w:t>&lt;0.75</w:t>
            </w:r>
          </w:p>
        </w:tc>
      </w:tr>
      <w:tr w:rsidR="00FB50F2" w14:paraId="2692DB50" w14:textId="77777777" w:rsidTr="00B20E50">
        <w:trPr>
          <w:trHeight w:val="566"/>
        </w:trPr>
        <w:tc>
          <w:tcPr>
            <w:tcW w:w="2254" w:type="dxa"/>
            <w:vAlign w:val="center"/>
          </w:tcPr>
          <w:p w14:paraId="2F3D61FA" w14:textId="2BBBF16F" w:rsidR="00FB50F2" w:rsidRPr="00E50E8C" w:rsidRDefault="00B20E50" w:rsidP="00FB50F2">
            <w:pPr>
              <w:jc w:val="center"/>
              <w:rPr>
                <w:sz w:val="20"/>
                <w:szCs w:val="20"/>
              </w:rPr>
            </w:pPr>
            <w:r>
              <w:rPr>
                <w:sz w:val="20"/>
                <w:szCs w:val="20"/>
              </w:rPr>
              <w:t>FDR</w:t>
            </w:r>
          </w:p>
        </w:tc>
        <w:tc>
          <w:tcPr>
            <w:tcW w:w="1994" w:type="dxa"/>
            <w:vAlign w:val="center"/>
          </w:tcPr>
          <w:p w14:paraId="60E48318" w14:textId="5E47938A" w:rsidR="00FB50F2" w:rsidRPr="00E50E8C" w:rsidRDefault="00FB50F2" w:rsidP="00FB50F2">
            <w:pPr>
              <w:jc w:val="center"/>
              <w:rPr>
                <w:sz w:val="20"/>
                <w:szCs w:val="20"/>
              </w:rPr>
            </w:pPr>
            <w:r w:rsidRPr="002716A1">
              <w:rPr>
                <w:sz w:val="20"/>
                <w:szCs w:val="20"/>
              </w:rPr>
              <w:t>&gt;80%</w:t>
            </w:r>
          </w:p>
        </w:tc>
        <w:tc>
          <w:tcPr>
            <w:tcW w:w="2410" w:type="dxa"/>
            <w:vAlign w:val="center"/>
          </w:tcPr>
          <w:p w14:paraId="3986104D" w14:textId="7AF3FB8E" w:rsidR="00FB50F2" w:rsidRPr="00E50E8C" w:rsidRDefault="00FB50F2" w:rsidP="00FB50F2">
            <w:pPr>
              <w:jc w:val="center"/>
              <w:rPr>
                <w:sz w:val="20"/>
                <w:szCs w:val="20"/>
              </w:rPr>
            </w:pPr>
            <w:r w:rsidRPr="002716A1">
              <w:rPr>
                <w:sz w:val="20"/>
                <w:szCs w:val="20"/>
              </w:rPr>
              <w:t>60% - 80%</w:t>
            </w:r>
          </w:p>
        </w:tc>
        <w:tc>
          <w:tcPr>
            <w:tcW w:w="2358" w:type="dxa"/>
            <w:vAlign w:val="center"/>
          </w:tcPr>
          <w:p w14:paraId="672C38FB" w14:textId="7D068266" w:rsidR="00FB50F2" w:rsidRPr="00E50E8C" w:rsidRDefault="00FB50F2" w:rsidP="00FB50F2">
            <w:pPr>
              <w:jc w:val="center"/>
              <w:rPr>
                <w:sz w:val="20"/>
                <w:szCs w:val="20"/>
              </w:rPr>
            </w:pPr>
            <w:r w:rsidRPr="002716A1">
              <w:rPr>
                <w:sz w:val="20"/>
                <w:szCs w:val="20"/>
              </w:rPr>
              <w:t>&lt;60%</w:t>
            </w:r>
          </w:p>
        </w:tc>
      </w:tr>
    </w:tbl>
    <w:p w14:paraId="3CE4A691" w14:textId="77777777" w:rsidR="0056473C" w:rsidRPr="002716A1" w:rsidRDefault="0056473C" w:rsidP="0056473C"/>
    <w:p w14:paraId="48024DC6" w14:textId="77777777" w:rsidR="0056473C" w:rsidRPr="002716A1" w:rsidRDefault="0056473C" w:rsidP="0056473C">
      <w:pPr>
        <w:rPr>
          <w:b/>
          <w:bCs/>
        </w:rPr>
      </w:pPr>
      <w:r w:rsidRPr="002716A1">
        <w:rPr>
          <w:b/>
          <w:bCs/>
        </w:rPr>
        <w:t>Threshold Breach Management Action Plan</w:t>
      </w:r>
    </w:p>
    <w:p w14:paraId="1B6E8CDC" w14:textId="77777777" w:rsidR="0056473C" w:rsidRPr="002716A1" w:rsidRDefault="0056473C" w:rsidP="0056473C">
      <w:pPr>
        <w:numPr>
          <w:ilvl w:val="0"/>
          <w:numId w:val="6"/>
        </w:numPr>
      </w:pPr>
      <w:r w:rsidRPr="002716A1">
        <w:rPr>
          <w:b/>
          <w:bCs/>
        </w:rPr>
        <w:t>Green (Optimal):</w:t>
      </w:r>
      <w:r w:rsidRPr="002716A1">
        <w:t xml:space="preserve"> No immediate action required; continue monitoring.</w:t>
      </w:r>
    </w:p>
    <w:p w14:paraId="7B1E84EC" w14:textId="313AA5E2" w:rsidR="0056473C" w:rsidRPr="002716A1" w:rsidRDefault="00B20E50" w:rsidP="0056473C">
      <w:pPr>
        <w:numPr>
          <w:ilvl w:val="0"/>
          <w:numId w:val="6"/>
        </w:numPr>
      </w:pPr>
      <w:r>
        <w:rPr>
          <w:b/>
          <w:bCs/>
        </w:rPr>
        <w:lastRenderedPageBreak/>
        <w:t>Amber</w:t>
      </w:r>
      <w:r w:rsidR="0056473C" w:rsidRPr="002716A1">
        <w:rPr>
          <w:b/>
          <w:bCs/>
        </w:rPr>
        <w:t xml:space="preserve"> (Warning):</w:t>
      </w:r>
      <w:r w:rsidR="0056473C" w:rsidRPr="002716A1">
        <w:t xml:space="preserve"> Conduct a diagnostic review; determine potential reasons for performance decline.</w:t>
      </w:r>
    </w:p>
    <w:p w14:paraId="5CDE49FE" w14:textId="77777777" w:rsidR="0056473C" w:rsidRDefault="0056473C" w:rsidP="0056473C">
      <w:pPr>
        <w:numPr>
          <w:ilvl w:val="0"/>
          <w:numId w:val="6"/>
        </w:numPr>
      </w:pPr>
      <w:r w:rsidRPr="002716A1">
        <w:rPr>
          <w:b/>
          <w:bCs/>
        </w:rPr>
        <w:t>Red (Critical - Action Required):</w:t>
      </w:r>
      <w:r w:rsidRPr="002716A1">
        <w:t xml:space="preserve"> Trigger immediate remediation, which may include model recalibration, retraining, or adjusting risk score thresholds.</w:t>
      </w:r>
    </w:p>
    <w:p w14:paraId="1C7ED654" w14:textId="77777777" w:rsidR="008B2BAE" w:rsidRPr="002716A1" w:rsidRDefault="008B2BAE" w:rsidP="008B2BAE"/>
    <w:p w14:paraId="56C983A4" w14:textId="1F216AC5" w:rsidR="0056473C" w:rsidRDefault="007D7FE2" w:rsidP="0056473C">
      <w:pPr>
        <w:rPr>
          <w:b/>
          <w:bCs/>
        </w:rPr>
      </w:pPr>
      <w:r>
        <w:rPr>
          <w:b/>
          <w:bCs/>
        </w:rPr>
        <w:t>4</w:t>
      </w:r>
      <w:r w:rsidR="0056473C" w:rsidRPr="002716A1">
        <w:rPr>
          <w:b/>
          <w:bCs/>
        </w:rPr>
        <w:t>. Monitoring Frequency</w:t>
      </w:r>
    </w:p>
    <w:tbl>
      <w:tblPr>
        <w:tblStyle w:val="TableGrid"/>
        <w:tblW w:w="0" w:type="auto"/>
        <w:tblLook w:val="04A0" w:firstRow="1" w:lastRow="0" w:firstColumn="1" w:lastColumn="0" w:noHBand="0" w:noVBand="1"/>
      </w:tblPr>
      <w:tblGrid>
        <w:gridCol w:w="4508"/>
        <w:gridCol w:w="2433"/>
      </w:tblGrid>
      <w:tr w:rsidR="00E50E8C" w14:paraId="00A589F1" w14:textId="77777777" w:rsidTr="00E50E8C">
        <w:trPr>
          <w:trHeight w:val="569"/>
        </w:trPr>
        <w:tc>
          <w:tcPr>
            <w:tcW w:w="4508" w:type="dxa"/>
            <w:vAlign w:val="center"/>
          </w:tcPr>
          <w:p w14:paraId="0DB91B1B" w14:textId="18001700" w:rsidR="00E50E8C" w:rsidRPr="00E50E8C" w:rsidRDefault="00E50E8C" w:rsidP="00E50E8C">
            <w:pPr>
              <w:rPr>
                <w:b/>
                <w:bCs/>
                <w:sz w:val="20"/>
                <w:szCs w:val="20"/>
              </w:rPr>
            </w:pPr>
            <w:r w:rsidRPr="002716A1">
              <w:rPr>
                <w:b/>
                <w:bCs/>
                <w:sz w:val="20"/>
                <w:szCs w:val="20"/>
              </w:rPr>
              <w:t>Monitoring Task</w:t>
            </w:r>
          </w:p>
        </w:tc>
        <w:tc>
          <w:tcPr>
            <w:tcW w:w="2433" w:type="dxa"/>
            <w:vAlign w:val="center"/>
          </w:tcPr>
          <w:p w14:paraId="11518D47" w14:textId="567F0C9A" w:rsidR="00E50E8C" w:rsidRPr="00E50E8C" w:rsidRDefault="00E50E8C" w:rsidP="00E50E8C">
            <w:pPr>
              <w:rPr>
                <w:b/>
                <w:bCs/>
                <w:sz w:val="20"/>
                <w:szCs w:val="20"/>
              </w:rPr>
            </w:pPr>
            <w:r w:rsidRPr="002716A1">
              <w:rPr>
                <w:b/>
                <w:bCs/>
                <w:sz w:val="20"/>
                <w:szCs w:val="20"/>
              </w:rPr>
              <w:t>Frequency</w:t>
            </w:r>
          </w:p>
        </w:tc>
      </w:tr>
      <w:tr w:rsidR="00E50E8C" w14:paraId="4AF7E771" w14:textId="77777777" w:rsidTr="00E50E8C">
        <w:trPr>
          <w:trHeight w:val="571"/>
        </w:trPr>
        <w:tc>
          <w:tcPr>
            <w:tcW w:w="4508" w:type="dxa"/>
            <w:vAlign w:val="center"/>
          </w:tcPr>
          <w:p w14:paraId="394CFF80" w14:textId="1E11FEEB" w:rsidR="00E50E8C" w:rsidRPr="00E50E8C" w:rsidRDefault="00E50E8C" w:rsidP="00E50E8C">
            <w:pPr>
              <w:rPr>
                <w:b/>
                <w:bCs/>
                <w:sz w:val="20"/>
                <w:szCs w:val="20"/>
              </w:rPr>
            </w:pPr>
            <w:r w:rsidRPr="002716A1">
              <w:rPr>
                <w:sz w:val="20"/>
                <w:szCs w:val="20"/>
              </w:rPr>
              <w:t>Performance metrics calculation</w:t>
            </w:r>
          </w:p>
        </w:tc>
        <w:tc>
          <w:tcPr>
            <w:tcW w:w="2433" w:type="dxa"/>
            <w:vAlign w:val="center"/>
          </w:tcPr>
          <w:p w14:paraId="59F29982" w14:textId="336D2E27" w:rsidR="00E50E8C" w:rsidRPr="00E50E8C" w:rsidRDefault="00E50E8C" w:rsidP="00E50E8C">
            <w:pPr>
              <w:rPr>
                <w:b/>
                <w:bCs/>
                <w:sz w:val="20"/>
                <w:szCs w:val="20"/>
              </w:rPr>
            </w:pPr>
            <w:r w:rsidRPr="002716A1">
              <w:rPr>
                <w:sz w:val="20"/>
                <w:szCs w:val="20"/>
              </w:rPr>
              <w:t>Monthly</w:t>
            </w:r>
          </w:p>
        </w:tc>
      </w:tr>
      <w:tr w:rsidR="00E50E8C" w14:paraId="40761ED6" w14:textId="77777777" w:rsidTr="00E50E8C">
        <w:trPr>
          <w:trHeight w:val="551"/>
        </w:trPr>
        <w:tc>
          <w:tcPr>
            <w:tcW w:w="4508" w:type="dxa"/>
            <w:vAlign w:val="center"/>
          </w:tcPr>
          <w:p w14:paraId="2376C460" w14:textId="58E05D22" w:rsidR="00E50E8C" w:rsidRPr="00E50E8C" w:rsidRDefault="00E50E8C" w:rsidP="00E50E8C">
            <w:pPr>
              <w:rPr>
                <w:b/>
                <w:bCs/>
                <w:sz w:val="20"/>
                <w:szCs w:val="20"/>
              </w:rPr>
            </w:pPr>
            <w:r w:rsidRPr="002716A1">
              <w:rPr>
                <w:sz w:val="20"/>
                <w:szCs w:val="20"/>
              </w:rPr>
              <w:t>Model stability checks (PSI)</w:t>
            </w:r>
          </w:p>
        </w:tc>
        <w:tc>
          <w:tcPr>
            <w:tcW w:w="2433" w:type="dxa"/>
            <w:vAlign w:val="center"/>
          </w:tcPr>
          <w:p w14:paraId="1E58670D" w14:textId="00A03831" w:rsidR="00E50E8C" w:rsidRPr="00E50E8C" w:rsidRDefault="00E50E8C" w:rsidP="00E50E8C">
            <w:pPr>
              <w:rPr>
                <w:b/>
                <w:bCs/>
                <w:sz w:val="20"/>
                <w:szCs w:val="20"/>
              </w:rPr>
            </w:pPr>
            <w:r w:rsidRPr="002716A1">
              <w:rPr>
                <w:sz w:val="20"/>
                <w:szCs w:val="20"/>
              </w:rPr>
              <w:t>Quarterly</w:t>
            </w:r>
          </w:p>
        </w:tc>
      </w:tr>
      <w:tr w:rsidR="00E50E8C" w14:paraId="6C0F2090" w14:textId="77777777" w:rsidTr="00E50E8C">
        <w:trPr>
          <w:trHeight w:val="702"/>
        </w:trPr>
        <w:tc>
          <w:tcPr>
            <w:tcW w:w="4508" w:type="dxa"/>
            <w:vAlign w:val="center"/>
          </w:tcPr>
          <w:p w14:paraId="5B1860DC" w14:textId="7869D9E5" w:rsidR="00E50E8C" w:rsidRPr="00E50E8C" w:rsidRDefault="00E50E8C" w:rsidP="00E50E8C">
            <w:pPr>
              <w:rPr>
                <w:b/>
                <w:bCs/>
                <w:sz w:val="20"/>
                <w:szCs w:val="20"/>
              </w:rPr>
            </w:pPr>
            <w:r w:rsidRPr="002716A1">
              <w:rPr>
                <w:sz w:val="20"/>
                <w:szCs w:val="20"/>
              </w:rPr>
              <w:t>Ad-hoc Monitoring (as per vendor guidance)</w:t>
            </w:r>
          </w:p>
        </w:tc>
        <w:tc>
          <w:tcPr>
            <w:tcW w:w="2433" w:type="dxa"/>
            <w:vAlign w:val="center"/>
          </w:tcPr>
          <w:p w14:paraId="5148AC84" w14:textId="0FD919BC" w:rsidR="00E50E8C" w:rsidRPr="00E50E8C" w:rsidRDefault="00E50E8C" w:rsidP="00E50E8C">
            <w:pPr>
              <w:rPr>
                <w:sz w:val="20"/>
                <w:szCs w:val="20"/>
              </w:rPr>
            </w:pPr>
            <w:r w:rsidRPr="002716A1">
              <w:rPr>
                <w:sz w:val="20"/>
                <w:szCs w:val="20"/>
              </w:rPr>
              <w:t>Weekly and Monthly</w:t>
            </w:r>
          </w:p>
        </w:tc>
      </w:tr>
    </w:tbl>
    <w:p w14:paraId="44438F53" w14:textId="77777777" w:rsidR="00E50E8C" w:rsidRPr="002716A1" w:rsidRDefault="00E50E8C" w:rsidP="0056473C">
      <w:pPr>
        <w:rPr>
          <w:b/>
          <w:bCs/>
        </w:rPr>
      </w:pPr>
    </w:p>
    <w:p w14:paraId="73F3CC5D" w14:textId="6542306B" w:rsidR="0056473C" w:rsidRPr="002716A1" w:rsidRDefault="007D7FE2" w:rsidP="0056473C">
      <w:pPr>
        <w:rPr>
          <w:b/>
          <w:bCs/>
        </w:rPr>
      </w:pPr>
      <w:r>
        <w:rPr>
          <w:b/>
          <w:bCs/>
        </w:rPr>
        <w:t>5</w:t>
      </w:r>
      <w:r w:rsidR="0056473C" w:rsidRPr="002716A1">
        <w:rPr>
          <w:b/>
          <w:bCs/>
        </w:rPr>
        <w:t>.1 Regulatory Expectations</w:t>
      </w:r>
    </w:p>
    <w:p w14:paraId="6AF408D7" w14:textId="77777777" w:rsidR="0056473C" w:rsidRPr="002716A1" w:rsidRDefault="0056473C" w:rsidP="0056473C">
      <w:pPr>
        <w:numPr>
          <w:ilvl w:val="0"/>
          <w:numId w:val="7"/>
        </w:numPr>
      </w:pPr>
      <w:r w:rsidRPr="002716A1">
        <w:t>Regulations such as SR 11-7 (Federal Reserve) and OCC 2011-12 emphasize ongoing performance monitoring and periodic validation.</w:t>
      </w:r>
    </w:p>
    <w:p w14:paraId="307F801C" w14:textId="6FEF9B60" w:rsidR="0056473C" w:rsidRPr="002716A1" w:rsidRDefault="007D7FE2" w:rsidP="0056473C">
      <w:pPr>
        <w:rPr>
          <w:b/>
          <w:bCs/>
        </w:rPr>
      </w:pPr>
      <w:r>
        <w:rPr>
          <w:b/>
          <w:bCs/>
        </w:rPr>
        <w:t>5</w:t>
      </w:r>
      <w:r w:rsidR="0056473C" w:rsidRPr="002716A1">
        <w:rPr>
          <w:b/>
          <w:bCs/>
        </w:rPr>
        <w:t>.</w:t>
      </w:r>
      <w:r>
        <w:rPr>
          <w:b/>
          <w:bCs/>
        </w:rPr>
        <w:t>2</w:t>
      </w:r>
      <w:r w:rsidR="0056473C" w:rsidRPr="002716A1">
        <w:rPr>
          <w:b/>
          <w:bCs/>
        </w:rPr>
        <w:t xml:space="preserve"> Risk Management &amp; Governance Requirements</w:t>
      </w:r>
    </w:p>
    <w:p w14:paraId="26626DF7" w14:textId="77777777" w:rsidR="0056473C" w:rsidRPr="002716A1" w:rsidRDefault="0056473C" w:rsidP="0056473C">
      <w:pPr>
        <w:numPr>
          <w:ilvl w:val="0"/>
          <w:numId w:val="10"/>
        </w:numPr>
      </w:pPr>
      <w:r w:rsidRPr="002716A1">
        <w:t>Financial institutions follow risk-based governance policies that require periodic reviews.</w:t>
      </w:r>
    </w:p>
    <w:p w14:paraId="292174A0" w14:textId="11C0963C" w:rsidR="0056473C" w:rsidRPr="002716A1" w:rsidRDefault="0056473C" w:rsidP="0056473C">
      <w:pPr>
        <w:numPr>
          <w:ilvl w:val="0"/>
          <w:numId w:val="10"/>
        </w:numPr>
      </w:pPr>
      <w:r w:rsidRPr="002716A1">
        <w:t>High-risk fraud models are typically assessed annually to align with best practices in Model Risk Management (MRM).</w:t>
      </w:r>
      <w:r w:rsidR="00FB50F2">
        <w:tab/>
      </w:r>
    </w:p>
    <w:p w14:paraId="0383D414" w14:textId="72C01586" w:rsidR="0056473C" w:rsidRPr="002716A1" w:rsidRDefault="007D7FE2" w:rsidP="0056473C">
      <w:pPr>
        <w:rPr>
          <w:b/>
          <w:bCs/>
        </w:rPr>
      </w:pPr>
      <w:r>
        <w:rPr>
          <w:b/>
          <w:bCs/>
        </w:rPr>
        <w:t>5</w:t>
      </w:r>
      <w:r w:rsidR="0056473C" w:rsidRPr="002716A1">
        <w:rPr>
          <w:b/>
          <w:bCs/>
        </w:rPr>
        <w:t>.</w:t>
      </w:r>
      <w:r>
        <w:rPr>
          <w:b/>
          <w:bCs/>
        </w:rPr>
        <w:t>3</w:t>
      </w:r>
      <w:r w:rsidR="0056473C" w:rsidRPr="002716A1">
        <w:rPr>
          <w:b/>
          <w:bCs/>
        </w:rPr>
        <w:t xml:space="preserve"> Industry Standards and Vendor Recommendations</w:t>
      </w:r>
    </w:p>
    <w:p w14:paraId="736BAE59" w14:textId="77777777" w:rsidR="0056473C" w:rsidRPr="002716A1" w:rsidRDefault="0056473C" w:rsidP="0056473C">
      <w:pPr>
        <w:numPr>
          <w:ilvl w:val="0"/>
          <w:numId w:val="11"/>
        </w:numPr>
      </w:pPr>
      <w:r w:rsidRPr="002716A1">
        <w:t>Vendors like LexisNexis, FICO, and SAS recommend annual validations as standard practice.</w:t>
      </w:r>
    </w:p>
    <w:p w14:paraId="050C772F" w14:textId="77777777" w:rsidR="0056473C" w:rsidRPr="002716A1" w:rsidRDefault="0056473C" w:rsidP="0056473C">
      <w:pPr>
        <w:numPr>
          <w:ilvl w:val="0"/>
          <w:numId w:val="11"/>
        </w:numPr>
      </w:pPr>
      <w:r w:rsidRPr="002716A1">
        <w:t>This aligns with Basel II/III risk management principles and best industry practices.</w:t>
      </w:r>
    </w:p>
    <w:p w14:paraId="16BAF642" w14:textId="3676DC78" w:rsidR="0056473C" w:rsidRPr="002716A1" w:rsidRDefault="00FB50F2" w:rsidP="0056473C">
      <w:pPr>
        <w:rPr>
          <w:b/>
          <w:bCs/>
        </w:rPr>
      </w:pPr>
      <w:r>
        <w:rPr>
          <w:b/>
          <w:bCs/>
        </w:rPr>
        <w:t>6</w:t>
      </w:r>
      <w:r w:rsidR="0056473C" w:rsidRPr="002716A1">
        <w:rPr>
          <w:b/>
          <w:bCs/>
        </w:rPr>
        <w:t>. Corrective Actions</w:t>
      </w:r>
    </w:p>
    <w:p w14:paraId="1D85ED10" w14:textId="77777777" w:rsidR="0056473C" w:rsidRPr="002716A1" w:rsidRDefault="0056473C" w:rsidP="0056473C">
      <w:r w:rsidRPr="002716A1">
        <w:t>If performance issues arise, the following actions may be taken:</w:t>
      </w:r>
    </w:p>
    <w:p w14:paraId="35E4434C" w14:textId="77777777" w:rsidR="0056473C" w:rsidRPr="002716A1" w:rsidRDefault="0056473C" w:rsidP="0056473C">
      <w:pPr>
        <w:numPr>
          <w:ilvl w:val="0"/>
          <w:numId w:val="16"/>
        </w:numPr>
      </w:pPr>
      <w:r w:rsidRPr="002716A1">
        <w:rPr>
          <w:b/>
          <w:bCs/>
        </w:rPr>
        <w:t>Threshold Adjustment:</w:t>
      </w:r>
      <w:r w:rsidRPr="002716A1">
        <w:t xml:space="preserve"> Modify risk score cutoffs to optimize fraud detection.</w:t>
      </w:r>
    </w:p>
    <w:p w14:paraId="10F69533" w14:textId="77777777" w:rsidR="0056473C" w:rsidRPr="002716A1" w:rsidRDefault="0056473C" w:rsidP="0056473C">
      <w:pPr>
        <w:numPr>
          <w:ilvl w:val="0"/>
          <w:numId w:val="16"/>
        </w:numPr>
      </w:pPr>
      <w:r w:rsidRPr="002716A1">
        <w:rPr>
          <w:b/>
          <w:bCs/>
        </w:rPr>
        <w:t>Feature Engineering Updates:</w:t>
      </w:r>
      <w:r w:rsidRPr="002716A1">
        <w:t xml:space="preserve"> Introduce new transaction patterns or behavioral indicators.</w:t>
      </w:r>
    </w:p>
    <w:p w14:paraId="5EC69028" w14:textId="77777777" w:rsidR="0056473C" w:rsidRPr="002716A1" w:rsidRDefault="0056473C" w:rsidP="0056473C">
      <w:pPr>
        <w:numPr>
          <w:ilvl w:val="0"/>
          <w:numId w:val="16"/>
        </w:numPr>
      </w:pPr>
      <w:r w:rsidRPr="002716A1">
        <w:rPr>
          <w:b/>
          <w:bCs/>
        </w:rPr>
        <w:t>Recalibration or Model Retraining:</w:t>
      </w:r>
      <w:r w:rsidRPr="002716A1">
        <w:t xml:space="preserve"> Use fresh fraud cases and legitimate transactions to retrain the model.</w:t>
      </w:r>
    </w:p>
    <w:p w14:paraId="4EEFF9B9" w14:textId="2191ECEA" w:rsidR="007D7FE2" w:rsidRDefault="0056473C" w:rsidP="007D7FE2">
      <w:pPr>
        <w:numPr>
          <w:ilvl w:val="0"/>
          <w:numId w:val="16"/>
        </w:numPr>
      </w:pPr>
      <w:r w:rsidRPr="002716A1">
        <w:rPr>
          <w:b/>
          <w:bCs/>
        </w:rPr>
        <w:t>Alternative Model Evaluation:</w:t>
      </w:r>
      <w:r w:rsidRPr="002716A1">
        <w:t xml:space="preserve"> Compare with rule-based fraud detection or competitor models.</w:t>
      </w:r>
    </w:p>
    <w:p w14:paraId="42846B7D" w14:textId="77777777" w:rsidR="007D7FE2" w:rsidRDefault="007D7FE2" w:rsidP="007D7FE2"/>
    <w:p w14:paraId="766E1AE3" w14:textId="77777777" w:rsidR="007D7FE2" w:rsidRPr="002716A1" w:rsidRDefault="007D7FE2" w:rsidP="007D7FE2"/>
    <w:sectPr w:rsidR="007D7FE2" w:rsidRPr="0027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EA0"/>
    <w:multiLevelType w:val="multilevel"/>
    <w:tmpl w:val="240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15C9"/>
    <w:multiLevelType w:val="multilevel"/>
    <w:tmpl w:val="CA3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F1131"/>
    <w:multiLevelType w:val="multilevel"/>
    <w:tmpl w:val="9504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6C38"/>
    <w:multiLevelType w:val="multilevel"/>
    <w:tmpl w:val="D71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715B"/>
    <w:multiLevelType w:val="multilevel"/>
    <w:tmpl w:val="01C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27BDB"/>
    <w:multiLevelType w:val="multilevel"/>
    <w:tmpl w:val="903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735F7"/>
    <w:multiLevelType w:val="multilevel"/>
    <w:tmpl w:val="EAD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C64E5"/>
    <w:multiLevelType w:val="multilevel"/>
    <w:tmpl w:val="D4D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61B4E"/>
    <w:multiLevelType w:val="multilevel"/>
    <w:tmpl w:val="7A2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1752C"/>
    <w:multiLevelType w:val="multilevel"/>
    <w:tmpl w:val="B3C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A3FD0"/>
    <w:multiLevelType w:val="multilevel"/>
    <w:tmpl w:val="AB3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5075F"/>
    <w:multiLevelType w:val="multilevel"/>
    <w:tmpl w:val="109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2F55"/>
    <w:multiLevelType w:val="multilevel"/>
    <w:tmpl w:val="32B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E4EFF"/>
    <w:multiLevelType w:val="multilevel"/>
    <w:tmpl w:val="B04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E213D"/>
    <w:multiLevelType w:val="multilevel"/>
    <w:tmpl w:val="B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751F5"/>
    <w:multiLevelType w:val="multilevel"/>
    <w:tmpl w:val="CF4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16313"/>
    <w:multiLevelType w:val="multilevel"/>
    <w:tmpl w:val="333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B7AB0"/>
    <w:multiLevelType w:val="multilevel"/>
    <w:tmpl w:val="26A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46DE1"/>
    <w:multiLevelType w:val="multilevel"/>
    <w:tmpl w:val="307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86790">
    <w:abstractNumId w:val="15"/>
  </w:num>
  <w:num w:numId="2" w16cid:durableId="1277711369">
    <w:abstractNumId w:val="18"/>
  </w:num>
  <w:num w:numId="3" w16cid:durableId="1088186706">
    <w:abstractNumId w:val="5"/>
  </w:num>
  <w:num w:numId="4" w16cid:durableId="434709680">
    <w:abstractNumId w:val="7"/>
  </w:num>
  <w:num w:numId="5" w16cid:durableId="679891698">
    <w:abstractNumId w:val="6"/>
  </w:num>
  <w:num w:numId="6" w16cid:durableId="1144273595">
    <w:abstractNumId w:val="9"/>
  </w:num>
  <w:num w:numId="7" w16cid:durableId="1566601426">
    <w:abstractNumId w:val="1"/>
  </w:num>
  <w:num w:numId="8" w16cid:durableId="1821800740">
    <w:abstractNumId w:val="16"/>
  </w:num>
  <w:num w:numId="9" w16cid:durableId="1280138770">
    <w:abstractNumId w:val="3"/>
  </w:num>
  <w:num w:numId="10" w16cid:durableId="271326325">
    <w:abstractNumId w:val="4"/>
  </w:num>
  <w:num w:numId="11" w16cid:durableId="1454714121">
    <w:abstractNumId w:val="12"/>
  </w:num>
  <w:num w:numId="12" w16cid:durableId="709572112">
    <w:abstractNumId w:val="14"/>
  </w:num>
  <w:num w:numId="13" w16cid:durableId="1839224595">
    <w:abstractNumId w:val="11"/>
  </w:num>
  <w:num w:numId="14" w16cid:durableId="2042823908">
    <w:abstractNumId w:val="8"/>
  </w:num>
  <w:num w:numId="15" w16cid:durableId="334386342">
    <w:abstractNumId w:val="10"/>
  </w:num>
  <w:num w:numId="16" w16cid:durableId="352807869">
    <w:abstractNumId w:val="2"/>
  </w:num>
  <w:num w:numId="17" w16cid:durableId="1812743265">
    <w:abstractNumId w:val="13"/>
  </w:num>
  <w:num w:numId="18" w16cid:durableId="49619986">
    <w:abstractNumId w:val="0"/>
  </w:num>
  <w:num w:numId="19" w16cid:durableId="13647918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3C"/>
    <w:rsid w:val="00062E24"/>
    <w:rsid w:val="001A3B63"/>
    <w:rsid w:val="003858C0"/>
    <w:rsid w:val="0056473C"/>
    <w:rsid w:val="006E63BA"/>
    <w:rsid w:val="007D7FE2"/>
    <w:rsid w:val="008B2BAE"/>
    <w:rsid w:val="00A934CE"/>
    <w:rsid w:val="00AA47AC"/>
    <w:rsid w:val="00AF3935"/>
    <w:rsid w:val="00B20E50"/>
    <w:rsid w:val="00BB1A6B"/>
    <w:rsid w:val="00CA2AF9"/>
    <w:rsid w:val="00CB12F0"/>
    <w:rsid w:val="00D747A0"/>
    <w:rsid w:val="00DF7BB5"/>
    <w:rsid w:val="00E36E8F"/>
    <w:rsid w:val="00E50E8C"/>
    <w:rsid w:val="00FB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BC68"/>
  <w15:chartTrackingRefBased/>
  <w15:docId w15:val="{4DD6A326-FAEC-448B-8785-F51295C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E8C"/>
  </w:style>
  <w:style w:type="paragraph" w:styleId="Heading1">
    <w:name w:val="heading 1"/>
    <w:basedOn w:val="Normal"/>
    <w:next w:val="Normal"/>
    <w:link w:val="Heading1Char"/>
    <w:uiPriority w:val="9"/>
    <w:qFormat/>
    <w:rsid w:val="00564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73C"/>
    <w:rPr>
      <w:rFonts w:eastAsiaTheme="majorEastAsia" w:cstheme="majorBidi"/>
      <w:color w:val="272727" w:themeColor="text1" w:themeTint="D8"/>
    </w:rPr>
  </w:style>
  <w:style w:type="paragraph" w:styleId="Title">
    <w:name w:val="Title"/>
    <w:basedOn w:val="Normal"/>
    <w:next w:val="Normal"/>
    <w:link w:val="TitleChar"/>
    <w:uiPriority w:val="10"/>
    <w:qFormat/>
    <w:rsid w:val="0056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73C"/>
    <w:pPr>
      <w:spacing w:before="160"/>
      <w:jc w:val="center"/>
    </w:pPr>
    <w:rPr>
      <w:i/>
      <w:iCs/>
      <w:color w:val="404040" w:themeColor="text1" w:themeTint="BF"/>
    </w:rPr>
  </w:style>
  <w:style w:type="character" w:customStyle="1" w:styleId="QuoteChar">
    <w:name w:val="Quote Char"/>
    <w:basedOn w:val="DefaultParagraphFont"/>
    <w:link w:val="Quote"/>
    <w:uiPriority w:val="29"/>
    <w:rsid w:val="0056473C"/>
    <w:rPr>
      <w:i/>
      <w:iCs/>
      <w:color w:val="404040" w:themeColor="text1" w:themeTint="BF"/>
    </w:rPr>
  </w:style>
  <w:style w:type="paragraph" w:styleId="ListParagraph">
    <w:name w:val="List Paragraph"/>
    <w:basedOn w:val="Normal"/>
    <w:uiPriority w:val="34"/>
    <w:qFormat/>
    <w:rsid w:val="0056473C"/>
    <w:pPr>
      <w:ind w:left="720"/>
      <w:contextualSpacing/>
    </w:pPr>
  </w:style>
  <w:style w:type="character" w:styleId="IntenseEmphasis">
    <w:name w:val="Intense Emphasis"/>
    <w:basedOn w:val="DefaultParagraphFont"/>
    <w:uiPriority w:val="21"/>
    <w:qFormat/>
    <w:rsid w:val="0056473C"/>
    <w:rPr>
      <w:i/>
      <w:iCs/>
      <w:color w:val="2F5496" w:themeColor="accent1" w:themeShade="BF"/>
    </w:rPr>
  </w:style>
  <w:style w:type="paragraph" w:styleId="IntenseQuote">
    <w:name w:val="Intense Quote"/>
    <w:basedOn w:val="Normal"/>
    <w:next w:val="Normal"/>
    <w:link w:val="IntenseQuoteChar"/>
    <w:uiPriority w:val="30"/>
    <w:qFormat/>
    <w:rsid w:val="00564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73C"/>
    <w:rPr>
      <w:i/>
      <w:iCs/>
      <w:color w:val="2F5496" w:themeColor="accent1" w:themeShade="BF"/>
    </w:rPr>
  </w:style>
  <w:style w:type="character" w:styleId="IntenseReference">
    <w:name w:val="Intense Reference"/>
    <w:basedOn w:val="DefaultParagraphFont"/>
    <w:uiPriority w:val="32"/>
    <w:qFormat/>
    <w:rsid w:val="0056473C"/>
    <w:rPr>
      <w:b/>
      <w:bCs/>
      <w:smallCaps/>
      <w:color w:val="2F5496" w:themeColor="accent1" w:themeShade="BF"/>
      <w:spacing w:val="5"/>
    </w:rPr>
  </w:style>
  <w:style w:type="table" w:styleId="TableGrid">
    <w:name w:val="Table Grid"/>
    <w:basedOn w:val="TableNormal"/>
    <w:uiPriority w:val="39"/>
    <w:rsid w:val="0056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387692">
      <w:bodyDiv w:val="1"/>
      <w:marLeft w:val="0"/>
      <w:marRight w:val="0"/>
      <w:marTop w:val="0"/>
      <w:marBottom w:val="0"/>
      <w:divBdr>
        <w:top w:val="none" w:sz="0" w:space="0" w:color="auto"/>
        <w:left w:val="none" w:sz="0" w:space="0" w:color="auto"/>
        <w:bottom w:val="none" w:sz="0" w:space="0" w:color="auto"/>
        <w:right w:val="none" w:sz="0" w:space="0" w:color="auto"/>
      </w:divBdr>
    </w:div>
    <w:div w:id="154975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9</cp:revision>
  <dcterms:created xsi:type="dcterms:W3CDTF">2025-01-30T08:57:00Z</dcterms:created>
  <dcterms:modified xsi:type="dcterms:W3CDTF">2025-02-02T21:07:00Z</dcterms:modified>
</cp:coreProperties>
</file>