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504EF" w14:textId="77777777" w:rsidR="00A11D64" w:rsidRPr="00A11D64" w:rsidRDefault="00A11D64" w:rsidP="00A11D64">
      <w:r w:rsidRPr="00A11D64">
        <w:t>The LexisNexis Fraud Intelligence (LNFI) model ensures robust access controls and security protocols to safeguard the integrity and confidentiality of the model and its associated data. Access to the model is tightly controlled through role-based permissions, which ensure that only authorized personnel can interact with the model or access sensitive data. This includes both internal staff and any third-party vendors who may be involved in the model's maintenance or use. The system is designed to restrict access to certain functionalities, such as training, model updates, or data inputs, based on a user's role and responsibility, preventing unauthorized modifications or misuse.</w:t>
      </w:r>
    </w:p>
    <w:p w14:paraId="602B0BC8" w14:textId="77777777" w:rsidR="00A11D64" w:rsidRPr="00A11D64" w:rsidRDefault="00A11D64" w:rsidP="00A11D64">
      <w:r w:rsidRPr="00A11D64">
        <w:t>To further protect the model, sensitive data used in the model development and production processes is encrypted during storage and transmission. Data security is reinforced through secure authentication mechanisms, such as multi-factor authentication (MFA), which ensures that only verified users can access the model's operational environment. Additionally, all interactions with the model are logged to provide a clear audit trail of who accessed the system, what actions they performed, and when these actions took place. This audit trail is vital for monitoring and reviewing access to the model, ensuring compliance with internal and regulatory standards.</w:t>
      </w:r>
    </w:p>
    <w:p w14:paraId="6E6FD204" w14:textId="77777777" w:rsidR="00A11D64" w:rsidRPr="00A11D64" w:rsidRDefault="00A11D64" w:rsidP="00A11D64">
      <w:r w:rsidRPr="00A11D64">
        <w:t>Regular security reviews and updates are conducted to keep up with emerging threats and vulnerabilities. The security measures are aligned with industry standards and best practices, such as encryption protocols and data protection regulations, ensuring that both the model’s integrity and its outputs are safeguarded. These comprehensive access and security measures are essential for maintaining the reliability and trustworthiness of the LNFI model and ensuring that it operates within a secure and compliant environment.</w:t>
      </w:r>
    </w:p>
    <w:p w14:paraId="4CF103DD" w14:textId="77777777" w:rsidR="00A11D64" w:rsidRDefault="00A11D64" w:rsidP="00DF199E">
      <w:pPr>
        <w:rPr>
          <w:b/>
          <w:bCs/>
        </w:rPr>
      </w:pPr>
    </w:p>
    <w:p w14:paraId="56D4729F" w14:textId="31DB8102" w:rsidR="00DF199E" w:rsidRPr="00DF199E" w:rsidRDefault="00DF199E" w:rsidP="00DF199E">
      <w:pPr>
        <w:rPr>
          <w:b/>
          <w:bCs/>
        </w:rPr>
      </w:pPr>
      <w:r w:rsidRPr="00DF199E">
        <w:rPr>
          <w:b/>
          <w:bCs/>
        </w:rPr>
        <w:t>Response for Model Access and Security Section in MDR</w:t>
      </w:r>
    </w:p>
    <w:p w14:paraId="2F3E3486" w14:textId="77777777" w:rsidR="00DF199E" w:rsidRPr="00DF199E" w:rsidRDefault="00DF199E" w:rsidP="00DF199E">
      <w:r w:rsidRPr="00DF199E">
        <w:t>The LexisNexis Fraud Intelligence (LNFI) model access and security measures ensure that only authorized individuals have access to the model, its data, and its outputs. These controls are crucial to maintaining data privacy, compliance with legal and regulatory standards, and the integrity of the model's operations.</w:t>
      </w:r>
    </w:p>
    <w:p w14:paraId="0071CEB4" w14:textId="77777777" w:rsidR="00DF199E" w:rsidRPr="00DF199E" w:rsidRDefault="00DF199E" w:rsidP="00DF199E">
      <w:pPr>
        <w:rPr>
          <w:b/>
          <w:bCs/>
        </w:rPr>
      </w:pPr>
      <w:r w:rsidRPr="00DF199E">
        <w:rPr>
          <w:b/>
          <w:bCs/>
        </w:rPr>
        <w:t>Access Controls</w:t>
      </w:r>
    </w:p>
    <w:p w14:paraId="29137096" w14:textId="77777777" w:rsidR="00DF199E" w:rsidRPr="00DF199E" w:rsidRDefault="00DF199E" w:rsidP="00DF199E">
      <w:pPr>
        <w:numPr>
          <w:ilvl w:val="0"/>
          <w:numId w:val="1"/>
        </w:numPr>
      </w:pPr>
      <w:r w:rsidRPr="00DF199E">
        <w:rPr>
          <w:b/>
          <w:bCs/>
        </w:rPr>
        <w:t>Role-Based Access</w:t>
      </w:r>
      <w:r w:rsidRPr="00DF199E">
        <w:t xml:space="preserve">: Access to the model and its data is restricted based on user roles. Only authorized personnel, such as model developers, administrators, and approved analysts, have access to the </w:t>
      </w:r>
      <w:proofErr w:type="spellStart"/>
      <w:r w:rsidRPr="00DF199E">
        <w:t>modeling</w:t>
      </w:r>
      <w:proofErr w:type="spellEnd"/>
      <w:r w:rsidRPr="00DF199E">
        <w:t xml:space="preserve"> environment.</w:t>
      </w:r>
    </w:p>
    <w:p w14:paraId="69D2EFE0" w14:textId="77777777" w:rsidR="00DF199E" w:rsidRPr="00DF199E" w:rsidRDefault="00DF199E" w:rsidP="00DF199E">
      <w:pPr>
        <w:numPr>
          <w:ilvl w:val="0"/>
          <w:numId w:val="1"/>
        </w:numPr>
      </w:pPr>
      <w:r w:rsidRPr="00DF199E">
        <w:rPr>
          <w:b/>
          <w:bCs/>
        </w:rPr>
        <w:t>Authentication and Authorization</w:t>
      </w:r>
      <w:r w:rsidRPr="00DF199E">
        <w:t>: A multi-factor authentication (MFA) system ensures secure access to the model infrastructure. Users must be pre-approved and authenticated before gaining access.</w:t>
      </w:r>
    </w:p>
    <w:p w14:paraId="5C49515B" w14:textId="77777777" w:rsidR="00DF199E" w:rsidRPr="00DF199E" w:rsidRDefault="00DF199E" w:rsidP="00DF199E">
      <w:pPr>
        <w:numPr>
          <w:ilvl w:val="0"/>
          <w:numId w:val="1"/>
        </w:numPr>
      </w:pPr>
      <w:r w:rsidRPr="00DF199E">
        <w:rPr>
          <w:b/>
          <w:bCs/>
        </w:rPr>
        <w:t>Data Access Restrictions</w:t>
      </w:r>
      <w:r w:rsidRPr="00DF199E">
        <w:t>: Sensitive data used in the model, including customer and fraud-related data, is stored in a secure, encrypted environment. Access to this data is limited to specific use cases.</w:t>
      </w:r>
    </w:p>
    <w:p w14:paraId="03C304A7" w14:textId="77777777" w:rsidR="00DF199E" w:rsidRPr="00DF199E" w:rsidRDefault="00DF199E" w:rsidP="00DF199E">
      <w:pPr>
        <w:rPr>
          <w:b/>
          <w:bCs/>
        </w:rPr>
      </w:pPr>
      <w:r w:rsidRPr="00DF199E">
        <w:rPr>
          <w:b/>
          <w:bCs/>
        </w:rPr>
        <w:t>Model Usage Monitoring</w:t>
      </w:r>
    </w:p>
    <w:p w14:paraId="6B96200E" w14:textId="77777777" w:rsidR="00DF199E" w:rsidRPr="00DF199E" w:rsidRDefault="00DF199E" w:rsidP="00DF199E">
      <w:pPr>
        <w:numPr>
          <w:ilvl w:val="0"/>
          <w:numId w:val="2"/>
        </w:numPr>
      </w:pPr>
      <w:r w:rsidRPr="00DF199E">
        <w:rPr>
          <w:b/>
          <w:bCs/>
        </w:rPr>
        <w:t>Audit Trails</w:t>
      </w:r>
      <w:r w:rsidRPr="00DF199E">
        <w:t>: The system maintains detailed logs of all access and usage activities related to the model. These logs are reviewed periodically to detect unauthorized access or suspicious activity.</w:t>
      </w:r>
    </w:p>
    <w:p w14:paraId="7958AB6C" w14:textId="77777777" w:rsidR="00DF199E" w:rsidRPr="00DF199E" w:rsidRDefault="00DF199E" w:rsidP="00DF199E">
      <w:pPr>
        <w:numPr>
          <w:ilvl w:val="0"/>
          <w:numId w:val="2"/>
        </w:numPr>
      </w:pPr>
      <w:r w:rsidRPr="00DF199E">
        <w:rPr>
          <w:b/>
          <w:bCs/>
        </w:rPr>
        <w:lastRenderedPageBreak/>
        <w:t>Change Tracking</w:t>
      </w:r>
      <w:r w:rsidRPr="00DF199E">
        <w:t>: Any modifications to the model’s settings, parameters, or data inputs are tracked and logged for accountability.</w:t>
      </w:r>
    </w:p>
    <w:p w14:paraId="59B555A1" w14:textId="77777777" w:rsidR="00DF199E" w:rsidRPr="00DF199E" w:rsidRDefault="00DF199E" w:rsidP="00DF199E">
      <w:pPr>
        <w:rPr>
          <w:b/>
          <w:bCs/>
        </w:rPr>
      </w:pPr>
      <w:r w:rsidRPr="00DF199E">
        <w:rPr>
          <w:b/>
          <w:bCs/>
        </w:rPr>
        <w:t>Security of Data and Reports</w:t>
      </w:r>
    </w:p>
    <w:p w14:paraId="1CA2E405" w14:textId="77777777" w:rsidR="00DF199E" w:rsidRPr="00DF199E" w:rsidRDefault="00DF199E" w:rsidP="00DF199E">
      <w:pPr>
        <w:numPr>
          <w:ilvl w:val="0"/>
          <w:numId w:val="3"/>
        </w:numPr>
      </w:pPr>
      <w:r w:rsidRPr="00DF199E">
        <w:rPr>
          <w:b/>
          <w:bCs/>
        </w:rPr>
        <w:t>Data Encryption</w:t>
      </w:r>
      <w:r w:rsidRPr="00DF199E">
        <w:t>: All input and output data are encrypted in transit and at rest to prevent unauthorized interception or access.</w:t>
      </w:r>
    </w:p>
    <w:p w14:paraId="30126830" w14:textId="77777777" w:rsidR="00DF199E" w:rsidRPr="00DF199E" w:rsidRDefault="00DF199E" w:rsidP="00DF199E">
      <w:pPr>
        <w:numPr>
          <w:ilvl w:val="0"/>
          <w:numId w:val="3"/>
        </w:numPr>
      </w:pPr>
      <w:r w:rsidRPr="00DF199E">
        <w:rPr>
          <w:b/>
          <w:bCs/>
        </w:rPr>
        <w:t>Secure Report Distribution</w:t>
      </w:r>
      <w:r w:rsidRPr="00DF199E">
        <w:t>: Standard output reports, such as risk score distributions and warning codes, are shared through encrypted channels or secure portals.</w:t>
      </w:r>
    </w:p>
    <w:p w14:paraId="4D33C125" w14:textId="77777777" w:rsidR="00DF199E" w:rsidRPr="00DF199E" w:rsidRDefault="00DF199E" w:rsidP="00DF199E">
      <w:pPr>
        <w:rPr>
          <w:b/>
          <w:bCs/>
        </w:rPr>
      </w:pPr>
      <w:r w:rsidRPr="00DF199E">
        <w:rPr>
          <w:b/>
          <w:bCs/>
        </w:rPr>
        <w:t>Regulatory Compliance</w:t>
      </w:r>
    </w:p>
    <w:p w14:paraId="55857BC3" w14:textId="77777777" w:rsidR="00DF199E" w:rsidRPr="00DF199E" w:rsidRDefault="00DF199E" w:rsidP="00DF199E">
      <w:r w:rsidRPr="00DF199E">
        <w:t>The model access framework adheres to industry best practices and complies with data protection regulations, such as the General Data Protection Regulation (GDPR) and the California Consumer Privacy Act (CCPA). These measures ensure that sensitive data is handled responsibly.</w:t>
      </w:r>
    </w:p>
    <w:p w14:paraId="7CE9C113" w14:textId="77777777" w:rsidR="00DF199E" w:rsidRPr="00DF199E" w:rsidRDefault="00DF199E" w:rsidP="00DF199E">
      <w:pPr>
        <w:rPr>
          <w:b/>
          <w:bCs/>
        </w:rPr>
      </w:pPr>
      <w:r w:rsidRPr="00DF199E">
        <w:rPr>
          <w:b/>
          <w:bCs/>
        </w:rPr>
        <w:t>Periodic Reviews</w:t>
      </w:r>
    </w:p>
    <w:p w14:paraId="2EA102EB" w14:textId="77777777" w:rsidR="00DF199E" w:rsidRPr="00DF199E" w:rsidRDefault="00DF199E" w:rsidP="00DF199E">
      <w:r w:rsidRPr="00DF199E">
        <w:t>The access and security protocols are reviewed and updated annually or as needed to address emerging threats and ensure alignment with evolving security standards.</w:t>
      </w:r>
    </w:p>
    <w:p w14:paraId="71F9C583" w14:textId="77777777" w:rsidR="00DF199E" w:rsidRDefault="00DF199E" w:rsidP="00DF199E">
      <w:r w:rsidRPr="00DF199E">
        <w:t>These measures collectively ensure the security and integrity of the LNFI model and its associated data throughout its lifecycle.</w:t>
      </w:r>
    </w:p>
    <w:p w14:paraId="63521D8A" w14:textId="77777777" w:rsidR="00DB0795" w:rsidRDefault="00DB0795" w:rsidP="00DF199E"/>
    <w:p w14:paraId="2FFB1EBB" w14:textId="77777777" w:rsidR="00DB0795" w:rsidRDefault="00DB0795" w:rsidP="00DF199E"/>
    <w:p w14:paraId="0FAB88FD" w14:textId="42B30888" w:rsidR="00DB0795" w:rsidRDefault="00DB0795" w:rsidP="00DB0795">
      <w:r>
        <w:t>Model Usage Controls</w:t>
      </w:r>
    </w:p>
    <w:p w14:paraId="1A497450" w14:textId="1636F0FA" w:rsidR="00DB0795" w:rsidRPr="00DB0795" w:rsidRDefault="00DB0795" w:rsidP="00DB0795">
      <w:r w:rsidRPr="00DB0795">
        <w:t>The LexisNexis Fraud Intelligence (LNFI) model has well-defined usage controls to ensure its proper operation, the reliability of its inputs and outputs, and smooth integration into downstream processes. Before execution, input data undergoes rigorous validation to ensure alignment with expected formats, completeness, and consistency. Any missing or anomalous values are addressed through imputation or flagged for further review, ensuring the integrity of the data entering the model.</w:t>
      </w:r>
    </w:p>
    <w:p w14:paraId="0EFFCE2C" w14:textId="77777777" w:rsidR="00DB0795" w:rsidRPr="00DB0795" w:rsidRDefault="00DB0795" w:rsidP="00DB0795">
      <w:r w:rsidRPr="00DB0795">
        <w:t>During execution, the process is closely monitored to confirm successful completion. System logs record critical details, including start and end times, and any errors encountered trigger automated alerts to facilitate timely resolution. Following execution, outputs such as risk scores and warning codes are systematically validated. These outputs are checked for consistency and expected distributions, and summary reports are generated to confirm their accuracy and readiness for downstream use.</w:t>
      </w:r>
    </w:p>
    <w:p w14:paraId="06952ECD" w14:textId="77777777" w:rsidR="00DB0795" w:rsidRPr="00DB0795" w:rsidRDefault="00DB0795" w:rsidP="00DB0795">
      <w:r w:rsidRPr="00DB0795">
        <w:t>Model outputs are securely transmitted to downstream systems, where they are integrated into operational workflows. The integration process is monitored to ensure that outputs are received and usable by end-users. Standardized reports, including score distributions and warning code summaries, are reviewed and distributed, providing stakeholders with clear insights derived from the model's operation.</w:t>
      </w:r>
    </w:p>
    <w:p w14:paraId="24312685" w14:textId="77777777" w:rsidR="00DB0795" w:rsidRPr="00DB0795" w:rsidRDefault="00DB0795" w:rsidP="00DB0795">
      <w:r w:rsidRPr="00DB0795">
        <w:t xml:space="preserve">To ensure continuous alignment with operational requirements, periodic post-execution reviews are conducted. These reviews assess the overall process, identify any discrepancies, and suggest improvements. All model usage procedures are documented and subject to regular audits, ensuring </w:t>
      </w:r>
      <w:r w:rsidRPr="00DB0795">
        <w:lastRenderedPageBreak/>
        <w:t>compliance with internal guidelines and regulatory standards while maintaining the reliability and efficiency of the model's usage framework.</w:t>
      </w:r>
    </w:p>
    <w:p w14:paraId="7CB616E0" w14:textId="77777777" w:rsidR="00DB0795" w:rsidRPr="00DF199E" w:rsidRDefault="00DB0795" w:rsidP="00DF199E"/>
    <w:sectPr w:rsidR="00DB0795" w:rsidRPr="00DF1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43EA4"/>
    <w:multiLevelType w:val="multilevel"/>
    <w:tmpl w:val="B03E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D46AE"/>
    <w:multiLevelType w:val="multilevel"/>
    <w:tmpl w:val="A170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F1ADD"/>
    <w:multiLevelType w:val="multilevel"/>
    <w:tmpl w:val="7C684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37683"/>
    <w:multiLevelType w:val="multilevel"/>
    <w:tmpl w:val="A56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44318"/>
    <w:multiLevelType w:val="multilevel"/>
    <w:tmpl w:val="83D8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D2A50"/>
    <w:multiLevelType w:val="multilevel"/>
    <w:tmpl w:val="D3C61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D589A"/>
    <w:multiLevelType w:val="multilevel"/>
    <w:tmpl w:val="A782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668451">
    <w:abstractNumId w:val="4"/>
  </w:num>
  <w:num w:numId="2" w16cid:durableId="405953257">
    <w:abstractNumId w:val="3"/>
  </w:num>
  <w:num w:numId="3" w16cid:durableId="1590507122">
    <w:abstractNumId w:val="6"/>
  </w:num>
  <w:num w:numId="4" w16cid:durableId="66612234">
    <w:abstractNumId w:val="2"/>
  </w:num>
  <w:num w:numId="5" w16cid:durableId="1112939262">
    <w:abstractNumId w:val="0"/>
  </w:num>
  <w:num w:numId="6" w16cid:durableId="760832746">
    <w:abstractNumId w:val="1"/>
  </w:num>
  <w:num w:numId="7" w16cid:durableId="10247524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02"/>
    <w:rsid w:val="001A3B63"/>
    <w:rsid w:val="001F5002"/>
    <w:rsid w:val="002C5BF7"/>
    <w:rsid w:val="003858C0"/>
    <w:rsid w:val="006C7174"/>
    <w:rsid w:val="008D70C4"/>
    <w:rsid w:val="00A11D64"/>
    <w:rsid w:val="00DB0795"/>
    <w:rsid w:val="00DF199E"/>
    <w:rsid w:val="00F36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295"/>
  <w15:chartTrackingRefBased/>
  <w15:docId w15:val="{5AA521B5-DDDC-4F0C-97D3-0E901BD5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67359">
      <w:bodyDiv w:val="1"/>
      <w:marLeft w:val="0"/>
      <w:marRight w:val="0"/>
      <w:marTop w:val="0"/>
      <w:marBottom w:val="0"/>
      <w:divBdr>
        <w:top w:val="none" w:sz="0" w:space="0" w:color="auto"/>
        <w:left w:val="none" w:sz="0" w:space="0" w:color="auto"/>
        <w:bottom w:val="none" w:sz="0" w:space="0" w:color="auto"/>
        <w:right w:val="none" w:sz="0" w:space="0" w:color="auto"/>
      </w:divBdr>
    </w:div>
    <w:div w:id="297541593">
      <w:bodyDiv w:val="1"/>
      <w:marLeft w:val="0"/>
      <w:marRight w:val="0"/>
      <w:marTop w:val="0"/>
      <w:marBottom w:val="0"/>
      <w:divBdr>
        <w:top w:val="none" w:sz="0" w:space="0" w:color="auto"/>
        <w:left w:val="none" w:sz="0" w:space="0" w:color="auto"/>
        <w:bottom w:val="none" w:sz="0" w:space="0" w:color="auto"/>
        <w:right w:val="none" w:sz="0" w:space="0" w:color="auto"/>
      </w:divBdr>
    </w:div>
    <w:div w:id="420293784">
      <w:bodyDiv w:val="1"/>
      <w:marLeft w:val="0"/>
      <w:marRight w:val="0"/>
      <w:marTop w:val="0"/>
      <w:marBottom w:val="0"/>
      <w:divBdr>
        <w:top w:val="none" w:sz="0" w:space="0" w:color="auto"/>
        <w:left w:val="none" w:sz="0" w:space="0" w:color="auto"/>
        <w:bottom w:val="none" w:sz="0" w:space="0" w:color="auto"/>
        <w:right w:val="none" w:sz="0" w:space="0" w:color="auto"/>
      </w:divBdr>
    </w:div>
    <w:div w:id="445661620">
      <w:bodyDiv w:val="1"/>
      <w:marLeft w:val="0"/>
      <w:marRight w:val="0"/>
      <w:marTop w:val="0"/>
      <w:marBottom w:val="0"/>
      <w:divBdr>
        <w:top w:val="none" w:sz="0" w:space="0" w:color="auto"/>
        <w:left w:val="none" w:sz="0" w:space="0" w:color="auto"/>
        <w:bottom w:val="none" w:sz="0" w:space="0" w:color="auto"/>
        <w:right w:val="none" w:sz="0" w:space="0" w:color="auto"/>
      </w:divBdr>
      <w:divsChild>
        <w:div w:id="1309747557">
          <w:marLeft w:val="0"/>
          <w:marRight w:val="0"/>
          <w:marTop w:val="0"/>
          <w:marBottom w:val="0"/>
          <w:divBdr>
            <w:top w:val="none" w:sz="0" w:space="0" w:color="auto"/>
            <w:left w:val="none" w:sz="0" w:space="0" w:color="auto"/>
            <w:bottom w:val="none" w:sz="0" w:space="0" w:color="auto"/>
            <w:right w:val="none" w:sz="0" w:space="0" w:color="auto"/>
          </w:divBdr>
          <w:divsChild>
            <w:div w:id="1334410034">
              <w:marLeft w:val="0"/>
              <w:marRight w:val="0"/>
              <w:marTop w:val="0"/>
              <w:marBottom w:val="0"/>
              <w:divBdr>
                <w:top w:val="none" w:sz="0" w:space="0" w:color="auto"/>
                <w:left w:val="none" w:sz="0" w:space="0" w:color="auto"/>
                <w:bottom w:val="none" w:sz="0" w:space="0" w:color="auto"/>
                <w:right w:val="none" w:sz="0" w:space="0" w:color="auto"/>
              </w:divBdr>
              <w:divsChild>
                <w:div w:id="1238519966">
                  <w:marLeft w:val="0"/>
                  <w:marRight w:val="0"/>
                  <w:marTop w:val="0"/>
                  <w:marBottom w:val="0"/>
                  <w:divBdr>
                    <w:top w:val="none" w:sz="0" w:space="0" w:color="auto"/>
                    <w:left w:val="none" w:sz="0" w:space="0" w:color="auto"/>
                    <w:bottom w:val="none" w:sz="0" w:space="0" w:color="auto"/>
                    <w:right w:val="none" w:sz="0" w:space="0" w:color="auto"/>
                  </w:divBdr>
                  <w:divsChild>
                    <w:div w:id="18850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25232">
          <w:marLeft w:val="0"/>
          <w:marRight w:val="0"/>
          <w:marTop w:val="0"/>
          <w:marBottom w:val="0"/>
          <w:divBdr>
            <w:top w:val="none" w:sz="0" w:space="0" w:color="auto"/>
            <w:left w:val="none" w:sz="0" w:space="0" w:color="auto"/>
            <w:bottom w:val="none" w:sz="0" w:space="0" w:color="auto"/>
            <w:right w:val="none" w:sz="0" w:space="0" w:color="auto"/>
          </w:divBdr>
          <w:divsChild>
            <w:div w:id="2094038810">
              <w:marLeft w:val="0"/>
              <w:marRight w:val="0"/>
              <w:marTop w:val="0"/>
              <w:marBottom w:val="0"/>
              <w:divBdr>
                <w:top w:val="none" w:sz="0" w:space="0" w:color="auto"/>
                <w:left w:val="none" w:sz="0" w:space="0" w:color="auto"/>
                <w:bottom w:val="none" w:sz="0" w:space="0" w:color="auto"/>
                <w:right w:val="none" w:sz="0" w:space="0" w:color="auto"/>
              </w:divBdr>
              <w:divsChild>
                <w:div w:id="790705045">
                  <w:marLeft w:val="0"/>
                  <w:marRight w:val="0"/>
                  <w:marTop w:val="0"/>
                  <w:marBottom w:val="0"/>
                  <w:divBdr>
                    <w:top w:val="none" w:sz="0" w:space="0" w:color="auto"/>
                    <w:left w:val="none" w:sz="0" w:space="0" w:color="auto"/>
                    <w:bottom w:val="none" w:sz="0" w:space="0" w:color="auto"/>
                    <w:right w:val="none" w:sz="0" w:space="0" w:color="auto"/>
                  </w:divBdr>
                  <w:divsChild>
                    <w:div w:id="1549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467924">
      <w:bodyDiv w:val="1"/>
      <w:marLeft w:val="0"/>
      <w:marRight w:val="0"/>
      <w:marTop w:val="0"/>
      <w:marBottom w:val="0"/>
      <w:divBdr>
        <w:top w:val="none" w:sz="0" w:space="0" w:color="auto"/>
        <w:left w:val="none" w:sz="0" w:space="0" w:color="auto"/>
        <w:bottom w:val="none" w:sz="0" w:space="0" w:color="auto"/>
        <w:right w:val="none" w:sz="0" w:space="0" w:color="auto"/>
      </w:divBdr>
    </w:div>
    <w:div w:id="824468601">
      <w:bodyDiv w:val="1"/>
      <w:marLeft w:val="0"/>
      <w:marRight w:val="0"/>
      <w:marTop w:val="0"/>
      <w:marBottom w:val="0"/>
      <w:divBdr>
        <w:top w:val="none" w:sz="0" w:space="0" w:color="auto"/>
        <w:left w:val="none" w:sz="0" w:space="0" w:color="auto"/>
        <w:bottom w:val="none" w:sz="0" w:space="0" w:color="auto"/>
        <w:right w:val="none" w:sz="0" w:space="0" w:color="auto"/>
      </w:divBdr>
    </w:div>
    <w:div w:id="865290334">
      <w:bodyDiv w:val="1"/>
      <w:marLeft w:val="0"/>
      <w:marRight w:val="0"/>
      <w:marTop w:val="0"/>
      <w:marBottom w:val="0"/>
      <w:divBdr>
        <w:top w:val="none" w:sz="0" w:space="0" w:color="auto"/>
        <w:left w:val="none" w:sz="0" w:space="0" w:color="auto"/>
        <w:bottom w:val="none" w:sz="0" w:space="0" w:color="auto"/>
        <w:right w:val="none" w:sz="0" w:space="0" w:color="auto"/>
      </w:divBdr>
    </w:div>
    <w:div w:id="1003161531">
      <w:bodyDiv w:val="1"/>
      <w:marLeft w:val="0"/>
      <w:marRight w:val="0"/>
      <w:marTop w:val="0"/>
      <w:marBottom w:val="0"/>
      <w:divBdr>
        <w:top w:val="none" w:sz="0" w:space="0" w:color="auto"/>
        <w:left w:val="none" w:sz="0" w:space="0" w:color="auto"/>
        <w:bottom w:val="none" w:sz="0" w:space="0" w:color="auto"/>
        <w:right w:val="none" w:sz="0" w:space="0" w:color="auto"/>
      </w:divBdr>
    </w:div>
    <w:div w:id="1628118261">
      <w:bodyDiv w:val="1"/>
      <w:marLeft w:val="0"/>
      <w:marRight w:val="0"/>
      <w:marTop w:val="0"/>
      <w:marBottom w:val="0"/>
      <w:divBdr>
        <w:top w:val="none" w:sz="0" w:space="0" w:color="auto"/>
        <w:left w:val="none" w:sz="0" w:space="0" w:color="auto"/>
        <w:bottom w:val="none" w:sz="0" w:space="0" w:color="auto"/>
        <w:right w:val="none" w:sz="0" w:space="0" w:color="auto"/>
      </w:divBdr>
    </w:div>
    <w:div w:id="1725592350">
      <w:bodyDiv w:val="1"/>
      <w:marLeft w:val="0"/>
      <w:marRight w:val="0"/>
      <w:marTop w:val="0"/>
      <w:marBottom w:val="0"/>
      <w:divBdr>
        <w:top w:val="none" w:sz="0" w:space="0" w:color="auto"/>
        <w:left w:val="none" w:sz="0" w:space="0" w:color="auto"/>
        <w:bottom w:val="none" w:sz="0" w:space="0" w:color="auto"/>
        <w:right w:val="none" w:sz="0" w:space="0" w:color="auto"/>
      </w:divBdr>
    </w:div>
    <w:div w:id="1755780697">
      <w:bodyDiv w:val="1"/>
      <w:marLeft w:val="0"/>
      <w:marRight w:val="0"/>
      <w:marTop w:val="0"/>
      <w:marBottom w:val="0"/>
      <w:divBdr>
        <w:top w:val="none" w:sz="0" w:space="0" w:color="auto"/>
        <w:left w:val="none" w:sz="0" w:space="0" w:color="auto"/>
        <w:bottom w:val="none" w:sz="0" w:space="0" w:color="auto"/>
        <w:right w:val="none" w:sz="0" w:space="0" w:color="auto"/>
      </w:divBdr>
    </w:div>
    <w:div w:id="1769303614">
      <w:bodyDiv w:val="1"/>
      <w:marLeft w:val="0"/>
      <w:marRight w:val="0"/>
      <w:marTop w:val="0"/>
      <w:marBottom w:val="0"/>
      <w:divBdr>
        <w:top w:val="none" w:sz="0" w:space="0" w:color="auto"/>
        <w:left w:val="none" w:sz="0" w:space="0" w:color="auto"/>
        <w:bottom w:val="none" w:sz="0" w:space="0" w:color="auto"/>
        <w:right w:val="none" w:sz="0" w:space="0" w:color="auto"/>
      </w:divBdr>
    </w:div>
    <w:div w:id="1801344683">
      <w:bodyDiv w:val="1"/>
      <w:marLeft w:val="0"/>
      <w:marRight w:val="0"/>
      <w:marTop w:val="0"/>
      <w:marBottom w:val="0"/>
      <w:divBdr>
        <w:top w:val="none" w:sz="0" w:space="0" w:color="auto"/>
        <w:left w:val="none" w:sz="0" w:space="0" w:color="auto"/>
        <w:bottom w:val="none" w:sz="0" w:space="0" w:color="auto"/>
        <w:right w:val="none" w:sz="0" w:space="0" w:color="auto"/>
      </w:divBdr>
    </w:div>
    <w:div w:id="1818377439">
      <w:bodyDiv w:val="1"/>
      <w:marLeft w:val="0"/>
      <w:marRight w:val="0"/>
      <w:marTop w:val="0"/>
      <w:marBottom w:val="0"/>
      <w:divBdr>
        <w:top w:val="none" w:sz="0" w:space="0" w:color="auto"/>
        <w:left w:val="none" w:sz="0" w:space="0" w:color="auto"/>
        <w:bottom w:val="none" w:sz="0" w:space="0" w:color="auto"/>
        <w:right w:val="none" w:sz="0" w:space="0" w:color="auto"/>
      </w:divBdr>
    </w:div>
    <w:div w:id="1829593471">
      <w:bodyDiv w:val="1"/>
      <w:marLeft w:val="0"/>
      <w:marRight w:val="0"/>
      <w:marTop w:val="0"/>
      <w:marBottom w:val="0"/>
      <w:divBdr>
        <w:top w:val="none" w:sz="0" w:space="0" w:color="auto"/>
        <w:left w:val="none" w:sz="0" w:space="0" w:color="auto"/>
        <w:bottom w:val="none" w:sz="0" w:space="0" w:color="auto"/>
        <w:right w:val="none" w:sz="0" w:space="0" w:color="auto"/>
      </w:divBdr>
      <w:divsChild>
        <w:div w:id="959990274">
          <w:marLeft w:val="0"/>
          <w:marRight w:val="0"/>
          <w:marTop w:val="0"/>
          <w:marBottom w:val="0"/>
          <w:divBdr>
            <w:top w:val="none" w:sz="0" w:space="0" w:color="auto"/>
            <w:left w:val="none" w:sz="0" w:space="0" w:color="auto"/>
            <w:bottom w:val="none" w:sz="0" w:space="0" w:color="auto"/>
            <w:right w:val="none" w:sz="0" w:space="0" w:color="auto"/>
          </w:divBdr>
          <w:divsChild>
            <w:div w:id="1722443728">
              <w:marLeft w:val="0"/>
              <w:marRight w:val="0"/>
              <w:marTop w:val="0"/>
              <w:marBottom w:val="0"/>
              <w:divBdr>
                <w:top w:val="none" w:sz="0" w:space="0" w:color="auto"/>
                <w:left w:val="none" w:sz="0" w:space="0" w:color="auto"/>
                <w:bottom w:val="none" w:sz="0" w:space="0" w:color="auto"/>
                <w:right w:val="none" w:sz="0" w:space="0" w:color="auto"/>
              </w:divBdr>
              <w:divsChild>
                <w:div w:id="1496074444">
                  <w:marLeft w:val="0"/>
                  <w:marRight w:val="0"/>
                  <w:marTop w:val="0"/>
                  <w:marBottom w:val="0"/>
                  <w:divBdr>
                    <w:top w:val="none" w:sz="0" w:space="0" w:color="auto"/>
                    <w:left w:val="none" w:sz="0" w:space="0" w:color="auto"/>
                    <w:bottom w:val="none" w:sz="0" w:space="0" w:color="auto"/>
                    <w:right w:val="none" w:sz="0" w:space="0" w:color="auto"/>
                  </w:divBdr>
                  <w:divsChild>
                    <w:div w:id="16514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8795">
          <w:marLeft w:val="0"/>
          <w:marRight w:val="0"/>
          <w:marTop w:val="0"/>
          <w:marBottom w:val="0"/>
          <w:divBdr>
            <w:top w:val="none" w:sz="0" w:space="0" w:color="auto"/>
            <w:left w:val="none" w:sz="0" w:space="0" w:color="auto"/>
            <w:bottom w:val="none" w:sz="0" w:space="0" w:color="auto"/>
            <w:right w:val="none" w:sz="0" w:space="0" w:color="auto"/>
          </w:divBdr>
          <w:divsChild>
            <w:div w:id="896165146">
              <w:marLeft w:val="0"/>
              <w:marRight w:val="0"/>
              <w:marTop w:val="0"/>
              <w:marBottom w:val="0"/>
              <w:divBdr>
                <w:top w:val="none" w:sz="0" w:space="0" w:color="auto"/>
                <w:left w:val="none" w:sz="0" w:space="0" w:color="auto"/>
                <w:bottom w:val="none" w:sz="0" w:space="0" w:color="auto"/>
                <w:right w:val="none" w:sz="0" w:space="0" w:color="auto"/>
              </w:divBdr>
              <w:divsChild>
                <w:div w:id="317809829">
                  <w:marLeft w:val="0"/>
                  <w:marRight w:val="0"/>
                  <w:marTop w:val="0"/>
                  <w:marBottom w:val="0"/>
                  <w:divBdr>
                    <w:top w:val="none" w:sz="0" w:space="0" w:color="auto"/>
                    <w:left w:val="none" w:sz="0" w:space="0" w:color="auto"/>
                    <w:bottom w:val="none" w:sz="0" w:space="0" w:color="auto"/>
                    <w:right w:val="none" w:sz="0" w:space="0" w:color="auto"/>
                  </w:divBdr>
                  <w:divsChild>
                    <w:div w:id="10785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73374">
      <w:bodyDiv w:val="1"/>
      <w:marLeft w:val="0"/>
      <w:marRight w:val="0"/>
      <w:marTop w:val="0"/>
      <w:marBottom w:val="0"/>
      <w:divBdr>
        <w:top w:val="none" w:sz="0" w:space="0" w:color="auto"/>
        <w:left w:val="none" w:sz="0" w:space="0" w:color="auto"/>
        <w:bottom w:val="none" w:sz="0" w:space="0" w:color="auto"/>
        <w:right w:val="none" w:sz="0" w:space="0" w:color="auto"/>
      </w:divBdr>
    </w:div>
    <w:div w:id="2016878711">
      <w:bodyDiv w:val="1"/>
      <w:marLeft w:val="0"/>
      <w:marRight w:val="0"/>
      <w:marTop w:val="0"/>
      <w:marBottom w:val="0"/>
      <w:divBdr>
        <w:top w:val="none" w:sz="0" w:space="0" w:color="auto"/>
        <w:left w:val="none" w:sz="0" w:space="0" w:color="auto"/>
        <w:bottom w:val="none" w:sz="0" w:space="0" w:color="auto"/>
        <w:right w:val="none" w:sz="0" w:space="0" w:color="auto"/>
      </w:divBdr>
    </w:div>
    <w:div w:id="2080978109">
      <w:bodyDiv w:val="1"/>
      <w:marLeft w:val="0"/>
      <w:marRight w:val="0"/>
      <w:marTop w:val="0"/>
      <w:marBottom w:val="0"/>
      <w:divBdr>
        <w:top w:val="none" w:sz="0" w:space="0" w:color="auto"/>
        <w:left w:val="none" w:sz="0" w:space="0" w:color="auto"/>
        <w:bottom w:val="none" w:sz="0" w:space="0" w:color="auto"/>
        <w:right w:val="none" w:sz="0" w:space="0" w:color="auto"/>
      </w:divBdr>
    </w:div>
    <w:div w:id="2113428601">
      <w:bodyDiv w:val="1"/>
      <w:marLeft w:val="0"/>
      <w:marRight w:val="0"/>
      <w:marTop w:val="0"/>
      <w:marBottom w:val="0"/>
      <w:divBdr>
        <w:top w:val="none" w:sz="0" w:space="0" w:color="auto"/>
        <w:left w:val="none" w:sz="0" w:space="0" w:color="auto"/>
        <w:bottom w:val="none" w:sz="0" w:space="0" w:color="auto"/>
        <w:right w:val="none" w:sz="0" w:space="0" w:color="auto"/>
      </w:divBdr>
    </w:div>
    <w:div w:id="212403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Kumar Gupta</dc:creator>
  <cp:keywords/>
  <dc:description/>
  <cp:lastModifiedBy>Uttam Kumar Gupta</cp:lastModifiedBy>
  <cp:revision>4</cp:revision>
  <dcterms:created xsi:type="dcterms:W3CDTF">2024-11-27T09:46:00Z</dcterms:created>
  <dcterms:modified xsi:type="dcterms:W3CDTF">2024-11-27T11:06:00Z</dcterms:modified>
</cp:coreProperties>
</file>