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3689"/>
        <w:gridCol w:w="1375"/>
        <w:gridCol w:w="2523"/>
      </w:tblGrid>
      <w:tr w:rsidR="001F5002" w:rsidRPr="001F5002" w14:paraId="603B0ECB" w14:textId="77777777" w:rsidTr="001F5002">
        <w:trPr>
          <w:tblHeader/>
          <w:tblCellSpacing w:w="15" w:type="dxa"/>
        </w:trPr>
        <w:tc>
          <w:tcPr>
            <w:tcW w:w="0" w:type="auto"/>
            <w:vAlign w:val="center"/>
            <w:hideMark/>
          </w:tcPr>
          <w:p w14:paraId="22743D4B" w14:textId="77777777" w:rsidR="001F5002" w:rsidRPr="001F5002" w:rsidRDefault="001F5002" w:rsidP="001F5002">
            <w:pPr>
              <w:rPr>
                <w:b/>
                <w:bCs/>
              </w:rPr>
            </w:pPr>
            <w:r w:rsidRPr="001F5002">
              <w:rPr>
                <w:b/>
                <w:bCs/>
              </w:rPr>
              <w:t>Assumption Name</w:t>
            </w:r>
          </w:p>
        </w:tc>
        <w:tc>
          <w:tcPr>
            <w:tcW w:w="0" w:type="auto"/>
            <w:vAlign w:val="center"/>
            <w:hideMark/>
          </w:tcPr>
          <w:p w14:paraId="60602975" w14:textId="77777777" w:rsidR="001F5002" w:rsidRPr="001F5002" w:rsidRDefault="001F5002" w:rsidP="001F5002">
            <w:pPr>
              <w:rPr>
                <w:b/>
                <w:bCs/>
              </w:rPr>
            </w:pPr>
            <w:r w:rsidRPr="001F5002">
              <w:rPr>
                <w:b/>
                <w:bCs/>
              </w:rPr>
              <w:t>Assumption Description</w:t>
            </w:r>
          </w:p>
        </w:tc>
        <w:tc>
          <w:tcPr>
            <w:tcW w:w="0" w:type="auto"/>
            <w:vAlign w:val="center"/>
            <w:hideMark/>
          </w:tcPr>
          <w:p w14:paraId="642344B8" w14:textId="77777777" w:rsidR="001F5002" w:rsidRPr="001F5002" w:rsidRDefault="001F5002" w:rsidP="001F5002">
            <w:pPr>
              <w:rPr>
                <w:b/>
                <w:bCs/>
              </w:rPr>
            </w:pPr>
            <w:r w:rsidRPr="001F5002">
              <w:rPr>
                <w:b/>
                <w:bCs/>
              </w:rPr>
              <w:t>Materiality of Assumption</w:t>
            </w:r>
          </w:p>
        </w:tc>
        <w:tc>
          <w:tcPr>
            <w:tcW w:w="0" w:type="auto"/>
            <w:vAlign w:val="center"/>
            <w:hideMark/>
          </w:tcPr>
          <w:p w14:paraId="3810312B" w14:textId="77777777" w:rsidR="001F5002" w:rsidRPr="001F5002" w:rsidRDefault="001F5002" w:rsidP="001F5002">
            <w:pPr>
              <w:rPr>
                <w:b/>
                <w:bCs/>
              </w:rPr>
            </w:pPr>
            <w:r w:rsidRPr="001F5002">
              <w:rPr>
                <w:b/>
                <w:bCs/>
              </w:rPr>
              <w:t>Rationale for This Assumption</w:t>
            </w:r>
          </w:p>
        </w:tc>
      </w:tr>
      <w:tr w:rsidR="001F5002" w:rsidRPr="001F5002" w14:paraId="74B4A251" w14:textId="77777777" w:rsidTr="001F5002">
        <w:trPr>
          <w:tblCellSpacing w:w="15" w:type="dxa"/>
        </w:trPr>
        <w:tc>
          <w:tcPr>
            <w:tcW w:w="0" w:type="auto"/>
            <w:vAlign w:val="center"/>
            <w:hideMark/>
          </w:tcPr>
          <w:p w14:paraId="54B36939" w14:textId="77777777" w:rsidR="001F5002" w:rsidRPr="001F5002" w:rsidRDefault="001F5002" w:rsidP="001F5002">
            <w:r w:rsidRPr="001F5002">
              <w:rPr>
                <w:b/>
                <w:bCs/>
              </w:rPr>
              <w:t>Missing Value Treatment</w:t>
            </w:r>
          </w:p>
        </w:tc>
        <w:tc>
          <w:tcPr>
            <w:tcW w:w="0" w:type="auto"/>
            <w:vAlign w:val="center"/>
            <w:hideMark/>
          </w:tcPr>
          <w:p w14:paraId="01D883A1" w14:textId="77777777" w:rsidR="001F5002" w:rsidRPr="001F5002" w:rsidRDefault="001F5002" w:rsidP="001F5002">
            <w:r w:rsidRPr="001F5002">
              <w:t xml:space="preserve">Missing values in the dataset were handled through imputation (e.g., imputing with 0 for variables like </w:t>
            </w:r>
            <w:proofErr w:type="spellStart"/>
            <w:r w:rsidRPr="001F5002">
              <w:t>MaxDelqStat</w:t>
            </w:r>
            <w:proofErr w:type="spellEnd"/>
            <w:r w:rsidRPr="001F5002">
              <w:t xml:space="preserve"> or treating them as a separate category).</w:t>
            </w:r>
          </w:p>
        </w:tc>
        <w:tc>
          <w:tcPr>
            <w:tcW w:w="0" w:type="auto"/>
            <w:vAlign w:val="center"/>
            <w:hideMark/>
          </w:tcPr>
          <w:p w14:paraId="6A3E7BBF" w14:textId="77777777" w:rsidR="001F5002" w:rsidRPr="001F5002" w:rsidRDefault="001F5002" w:rsidP="001F5002">
            <w:r w:rsidRPr="001F5002">
              <w:t>Medium</w:t>
            </w:r>
          </w:p>
        </w:tc>
        <w:tc>
          <w:tcPr>
            <w:tcW w:w="0" w:type="auto"/>
            <w:vAlign w:val="center"/>
            <w:hideMark/>
          </w:tcPr>
          <w:p w14:paraId="7A1E3A6F" w14:textId="77777777" w:rsidR="001F5002" w:rsidRPr="001F5002" w:rsidRDefault="001F5002" w:rsidP="001F5002">
            <w:r w:rsidRPr="001F5002">
              <w:t>Quantitative methodology-driven: ensures completeness of data for model training.</w:t>
            </w:r>
          </w:p>
        </w:tc>
      </w:tr>
      <w:tr w:rsidR="001F5002" w:rsidRPr="001F5002" w14:paraId="623707EC" w14:textId="77777777" w:rsidTr="001F5002">
        <w:trPr>
          <w:tblCellSpacing w:w="15" w:type="dxa"/>
        </w:trPr>
        <w:tc>
          <w:tcPr>
            <w:tcW w:w="0" w:type="auto"/>
            <w:vAlign w:val="center"/>
            <w:hideMark/>
          </w:tcPr>
          <w:p w14:paraId="50C3F024" w14:textId="77777777" w:rsidR="001F5002" w:rsidRPr="001F5002" w:rsidRDefault="001F5002" w:rsidP="001F5002">
            <w:r w:rsidRPr="001F5002">
              <w:rPr>
                <w:b/>
                <w:bCs/>
              </w:rPr>
              <w:t>Outlier Treatment</w:t>
            </w:r>
          </w:p>
        </w:tc>
        <w:tc>
          <w:tcPr>
            <w:tcW w:w="0" w:type="auto"/>
            <w:vAlign w:val="center"/>
            <w:hideMark/>
          </w:tcPr>
          <w:p w14:paraId="07E07284" w14:textId="77777777" w:rsidR="001F5002" w:rsidRPr="001F5002" w:rsidRDefault="001F5002" w:rsidP="001F5002">
            <w:r w:rsidRPr="001F5002">
              <w:t>Outliers were retained in the dataset as they could represent rare but meaningful fraud-related signals.</w:t>
            </w:r>
          </w:p>
        </w:tc>
        <w:tc>
          <w:tcPr>
            <w:tcW w:w="0" w:type="auto"/>
            <w:vAlign w:val="center"/>
            <w:hideMark/>
          </w:tcPr>
          <w:p w14:paraId="4895F8D6" w14:textId="77777777" w:rsidR="001F5002" w:rsidRPr="001F5002" w:rsidRDefault="001F5002" w:rsidP="001F5002">
            <w:r w:rsidRPr="001F5002">
              <w:t>High</w:t>
            </w:r>
          </w:p>
        </w:tc>
        <w:tc>
          <w:tcPr>
            <w:tcW w:w="0" w:type="auto"/>
            <w:vAlign w:val="center"/>
            <w:hideMark/>
          </w:tcPr>
          <w:p w14:paraId="3C77FD23" w14:textId="77777777" w:rsidR="001F5002" w:rsidRPr="001F5002" w:rsidRDefault="001F5002" w:rsidP="001F5002">
            <w:r w:rsidRPr="001F5002">
              <w:t>Business-driven: fraud patterns often involve rare but critical data points.</w:t>
            </w:r>
          </w:p>
        </w:tc>
      </w:tr>
      <w:tr w:rsidR="001F5002" w:rsidRPr="001F5002" w14:paraId="3271B84C" w14:textId="77777777" w:rsidTr="001F5002">
        <w:trPr>
          <w:tblCellSpacing w:w="15" w:type="dxa"/>
        </w:trPr>
        <w:tc>
          <w:tcPr>
            <w:tcW w:w="0" w:type="auto"/>
            <w:vAlign w:val="center"/>
            <w:hideMark/>
          </w:tcPr>
          <w:p w14:paraId="7437CB43" w14:textId="77777777" w:rsidR="001F5002" w:rsidRPr="001F5002" w:rsidRDefault="001F5002" w:rsidP="001F5002">
            <w:r w:rsidRPr="001F5002">
              <w:rPr>
                <w:b/>
                <w:bCs/>
              </w:rPr>
              <w:t>Feature Scaling</w:t>
            </w:r>
          </w:p>
        </w:tc>
        <w:tc>
          <w:tcPr>
            <w:tcW w:w="0" w:type="auto"/>
            <w:vAlign w:val="center"/>
            <w:hideMark/>
          </w:tcPr>
          <w:p w14:paraId="1B7DC413" w14:textId="77777777" w:rsidR="001F5002" w:rsidRPr="001F5002" w:rsidRDefault="001F5002" w:rsidP="001F5002">
            <w:r w:rsidRPr="001F5002">
              <w:t xml:space="preserve">Feature scaling was not applied because </w:t>
            </w:r>
            <w:proofErr w:type="spellStart"/>
            <w:r w:rsidRPr="001F5002">
              <w:t>XGBoost</w:t>
            </w:r>
            <w:proofErr w:type="spellEnd"/>
            <w:r w:rsidRPr="001F5002">
              <w:t xml:space="preserve"> does not require normalized or standardized input features.</w:t>
            </w:r>
          </w:p>
        </w:tc>
        <w:tc>
          <w:tcPr>
            <w:tcW w:w="0" w:type="auto"/>
            <w:vAlign w:val="center"/>
            <w:hideMark/>
          </w:tcPr>
          <w:p w14:paraId="42D7D4C2" w14:textId="77777777" w:rsidR="001F5002" w:rsidRPr="001F5002" w:rsidRDefault="001F5002" w:rsidP="001F5002">
            <w:r w:rsidRPr="001F5002">
              <w:t>Low</w:t>
            </w:r>
          </w:p>
        </w:tc>
        <w:tc>
          <w:tcPr>
            <w:tcW w:w="0" w:type="auto"/>
            <w:vAlign w:val="center"/>
            <w:hideMark/>
          </w:tcPr>
          <w:p w14:paraId="6D09F7BB" w14:textId="77777777" w:rsidR="001F5002" w:rsidRPr="001F5002" w:rsidRDefault="001F5002" w:rsidP="001F5002">
            <w:r w:rsidRPr="001F5002">
              <w:t xml:space="preserve">Quantitative methodology-driven: </w:t>
            </w:r>
            <w:proofErr w:type="spellStart"/>
            <w:r w:rsidRPr="001F5002">
              <w:t>XGBoost</w:t>
            </w:r>
            <w:proofErr w:type="spellEnd"/>
            <w:r w:rsidRPr="001F5002">
              <w:t xml:space="preserve"> handles unscaled features natively.</w:t>
            </w:r>
          </w:p>
        </w:tc>
      </w:tr>
      <w:tr w:rsidR="001F5002" w:rsidRPr="001F5002" w14:paraId="6AC976F7" w14:textId="77777777" w:rsidTr="001F5002">
        <w:trPr>
          <w:tblCellSpacing w:w="15" w:type="dxa"/>
        </w:trPr>
        <w:tc>
          <w:tcPr>
            <w:tcW w:w="0" w:type="auto"/>
            <w:vAlign w:val="center"/>
            <w:hideMark/>
          </w:tcPr>
          <w:p w14:paraId="4FB7FCB9" w14:textId="77777777" w:rsidR="001F5002" w:rsidRPr="001F5002" w:rsidRDefault="001F5002" w:rsidP="001F5002">
            <w:r w:rsidRPr="001F5002">
              <w:rPr>
                <w:b/>
                <w:bCs/>
              </w:rPr>
              <w:t>Temporal Assumptions</w:t>
            </w:r>
          </w:p>
        </w:tc>
        <w:tc>
          <w:tcPr>
            <w:tcW w:w="0" w:type="auto"/>
            <w:vAlign w:val="center"/>
            <w:hideMark/>
          </w:tcPr>
          <w:p w14:paraId="60671920" w14:textId="77777777" w:rsidR="001F5002" w:rsidRPr="001F5002" w:rsidRDefault="001F5002" w:rsidP="001F5002">
            <w:r w:rsidRPr="001F5002">
              <w:t xml:space="preserve">The training dataset reflects historical fraud patterns, and it is assumed that these patterns remain predictive of future fraud </w:t>
            </w:r>
            <w:proofErr w:type="spellStart"/>
            <w:r w:rsidRPr="001F5002">
              <w:t>behavior</w:t>
            </w:r>
            <w:proofErr w:type="spellEnd"/>
            <w:r w:rsidRPr="001F5002">
              <w:t>.</w:t>
            </w:r>
          </w:p>
        </w:tc>
        <w:tc>
          <w:tcPr>
            <w:tcW w:w="0" w:type="auto"/>
            <w:vAlign w:val="center"/>
            <w:hideMark/>
          </w:tcPr>
          <w:p w14:paraId="6E3BCB3F" w14:textId="77777777" w:rsidR="001F5002" w:rsidRPr="001F5002" w:rsidRDefault="001F5002" w:rsidP="001F5002">
            <w:r w:rsidRPr="001F5002">
              <w:t>High</w:t>
            </w:r>
          </w:p>
        </w:tc>
        <w:tc>
          <w:tcPr>
            <w:tcW w:w="0" w:type="auto"/>
            <w:vAlign w:val="center"/>
            <w:hideMark/>
          </w:tcPr>
          <w:p w14:paraId="06F11BF0" w14:textId="77777777" w:rsidR="001F5002" w:rsidRPr="001F5002" w:rsidRDefault="001F5002" w:rsidP="001F5002">
            <w:r w:rsidRPr="001F5002">
              <w:t>Business-driven: aligns with the fundamental assumption of fraud detection models.</w:t>
            </w:r>
          </w:p>
        </w:tc>
      </w:tr>
      <w:tr w:rsidR="001F5002" w:rsidRPr="001F5002" w14:paraId="62FDBE2A" w14:textId="77777777" w:rsidTr="001F5002">
        <w:trPr>
          <w:tblCellSpacing w:w="15" w:type="dxa"/>
        </w:trPr>
        <w:tc>
          <w:tcPr>
            <w:tcW w:w="0" w:type="auto"/>
            <w:vAlign w:val="center"/>
            <w:hideMark/>
          </w:tcPr>
          <w:p w14:paraId="4DE5C516" w14:textId="77777777" w:rsidR="001F5002" w:rsidRPr="001F5002" w:rsidRDefault="001F5002" w:rsidP="001F5002">
            <w:r w:rsidRPr="001F5002">
              <w:rPr>
                <w:b/>
                <w:bCs/>
              </w:rPr>
              <w:t>Data Integrity Checks</w:t>
            </w:r>
          </w:p>
        </w:tc>
        <w:tc>
          <w:tcPr>
            <w:tcW w:w="0" w:type="auto"/>
            <w:vAlign w:val="center"/>
            <w:hideMark/>
          </w:tcPr>
          <w:p w14:paraId="02C6B171" w14:textId="77777777" w:rsidR="001F5002" w:rsidRPr="001F5002" w:rsidRDefault="001F5002" w:rsidP="001F5002">
            <w:r w:rsidRPr="001F5002">
              <w:t>Preprocessing steps included checks for data consistency, removal of duplicate records, and ensuring all mandatory fields were present in the input data.</w:t>
            </w:r>
          </w:p>
        </w:tc>
        <w:tc>
          <w:tcPr>
            <w:tcW w:w="0" w:type="auto"/>
            <w:vAlign w:val="center"/>
            <w:hideMark/>
          </w:tcPr>
          <w:p w14:paraId="1B91E45D" w14:textId="77777777" w:rsidR="001F5002" w:rsidRPr="001F5002" w:rsidRDefault="001F5002" w:rsidP="001F5002">
            <w:r w:rsidRPr="001F5002">
              <w:t>High</w:t>
            </w:r>
          </w:p>
        </w:tc>
        <w:tc>
          <w:tcPr>
            <w:tcW w:w="0" w:type="auto"/>
            <w:vAlign w:val="center"/>
            <w:hideMark/>
          </w:tcPr>
          <w:p w14:paraId="46F292FD" w14:textId="77777777" w:rsidR="001F5002" w:rsidRPr="001F5002" w:rsidRDefault="001F5002" w:rsidP="001F5002">
            <w:r w:rsidRPr="001F5002">
              <w:t>Quantitative methodology-driven: ensures data quality for reliable model outputs.</w:t>
            </w:r>
          </w:p>
        </w:tc>
      </w:tr>
      <w:tr w:rsidR="001F5002" w:rsidRPr="001F5002" w14:paraId="2AD6134B" w14:textId="77777777" w:rsidTr="001F5002">
        <w:trPr>
          <w:tblCellSpacing w:w="15" w:type="dxa"/>
        </w:trPr>
        <w:tc>
          <w:tcPr>
            <w:tcW w:w="0" w:type="auto"/>
            <w:vAlign w:val="center"/>
            <w:hideMark/>
          </w:tcPr>
          <w:p w14:paraId="3B752B52" w14:textId="77777777" w:rsidR="001F5002" w:rsidRPr="001F5002" w:rsidRDefault="001F5002" w:rsidP="001F5002">
            <w:r w:rsidRPr="001F5002">
              <w:rPr>
                <w:b/>
                <w:bCs/>
              </w:rPr>
              <w:t>Variable Selection</w:t>
            </w:r>
          </w:p>
        </w:tc>
        <w:tc>
          <w:tcPr>
            <w:tcW w:w="0" w:type="auto"/>
            <w:vAlign w:val="center"/>
            <w:hideMark/>
          </w:tcPr>
          <w:p w14:paraId="190BCF5E" w14:textId="77777777" w:rsidR="001F5002" w:rsidRPr="001F5002" w:rsidRDefault="001F5002" w:rsidP="001F5002">
            <w:r w:rsidRPr="001F5002">
              <w:t>Recursive Feature Elimination (RFE) was used to select features contributing most to the model’s predictive power while eliminating redundant or irrelevant variables.</w:t>
            </w:r>
          </w:p>
        </w:tc>
        <w:tc>
          <w:tcPr>
            <w:tcW w:w="0" w:type="auto"/>
            <w:vAlign w:val="center"/>
            <w:hideMark/>
          </w:tcPr>
          <w:p w14:paraId="751F162C" w14:textId="77777777" w:rsidR="001F5002" w:rsidRPr="001F5002" w:rsidRDefault="001F5002" w:rsidP="001F5002">
            <w:r w:rsidRPr="001F5002">
              <w:t>High</w:t>
            </w:r>
          </w:p>
        </w:tc>
        <w:tc>
          <w:tcPr>
            <w:tcW w:w="0" w:type="auto"/>
            <w:vAlign w:val="center"/>
            <w:hideMark/>
          </w:tcPr>
          <w:p w14:paraId="44A28BB2" w14:textId="77777777" w:rsidR="001F5002" w:rsidRPr="001F5002" w:rsidRDefault="001F5002" w:rsidP="001F5002">
            <w:r w:rsidRPr="001F5002">
              <w:t>Quantitative methodology-driven: improves model performance and interpretability.</w:t>
            </w:r>
          </w:p>
        </w:tc>
      </w:tr>
      <w:tr w:rsidR="001F5002" w:rsidRPr="001F5002" w14:paraId="27FE4A1C" w14:textId="77777777" w:rsidTr="001F5002">
        <w:trPr>
          <w:tblCellSpacing w:w="15" w:type="dxa"/>
        </w:trPr>
        <w:tc>
          <w:tcPr>
            <w:tcW w:w="0" w:type="auto"/>
            <w:vAlign w:val="center"/>
            <w:hideMark/>
          </w:tcPr>
          <w:p w14:paraId="71AEDFBD" w14:textId="77777777" w:rsidR="001F5002" w:rsidRPr="001F5002" w:rsidRDefault="001F5002" w:rsidP="001F5002">
            <w:r w:rsidRPr="001F5002">
              <w:rPr>
                <w:b/>
                <w:bCs/>
              </w:rPr>
              <w:t>Fraud Label Definition</w:t>
            </w:r>
          </w:p>
        </w:tc>
        <w:tc>
          <w:tcPr>
            <w:tcW w:w="0" w:type="auto"/>
            <w:vAlign w:val="center"/>
            <w:hideMark/>
          </w:tcPr>
          <w:p w14:paraId="5CCA380A" w14:textId="77777777" w:rsidR="001F5002" w:rsidRPr="001F5002" w:rsidRDefault="001F5002" w:rsidP="001F5002">
            <w:r w:rsidRPr="001F5002">
              <w:t>The target variable was based on flagged applications for fraud (fraud and non-fraud) sourced from historical data on account performance and fraud tagging processes.</w:t>
            </w:r>
          </w:p>
        </w:tc>
        <w:tc>
          <w:tcPr>
            <w:tcW w:w="0" w:type="auto"/>
            <w:vAlign w:val="center"/>
            <w:hideMark/>
          </w:tcPr>
          <w:p w14:paraId="54D4C481" w14:textId="77777777" w:rsidR="001F5002" w:rsidRPr="001F5002" w:rsidRDefault="001F5002" w:rsidP="001F5002">
            <w:r w:rsidRPr="001F5002">
              <w:t>High</w:t>
            </w:r>
          </w:p>
        </w:tc>
        <w:tc>
          <w:tcPr>
            <w:tcW w:w="0" w:type="auto"/>
            <w:vAlign w:val="center"/>
            <w:hideMark/>
          </w:tcPr>
          <w:p w14:paraId="01835FC9" w14:textId="77777777" w:rsidR="001F5002" w:rsidRPr="001F5002" w:rsidRDefault="001F5002" w:rsidP="001F5002">
            <w:r w:rsidRPr="001F5002">
              <w:t>Business-driven: ensures alignment with business use case and objective.</w:t>
            </w:r>
          </w:p>
        </w:tc>
      </w:tr>
    </w:tbl>
    <w:p w14:paraId="4C969CB5" w14:textId="696E5667" w:rsidR="001F5002" w:rsidRPr="001F5002" w:rsidRDefault="001F5002" w:rsidP="001F5002">
      <w:r w:rsidRPr="001F5002">
        <w:t>This table ensures that the assumptions made during the model development and production processes are clearly documented, along with their materiality and rationale.</w:t>
      </w:r>
    </w:p>
    <w:p w14:paraId="07484671" w14:textId="77777777" w:rsidR="003858C0" w:rsidRDefault="003858C0"/>
    <w:p w14:paraId="0F04F8A2" w14:textId="77777777" w:rsidR="001F5002" w:rsidRDefault="001F5002"/>
    <w:p w14:paraId="6711BBBC" w14:textId="77777777" w:rsidR="001F5002" w:rsidRPr="001F5002" w:rsidRDefault="001F5002" w:rsidP="001F5002">
      <w:r w:rsidRPr="001F5002">
        <w:t xml:space="preserve">Here’s a structured table for the </w:t>
      </w:r>
      <w:r w:rsidRPr="001F5002">
        <w:rPr>
          <w:b/>
          <w:bCs/>
        </w:rPr>
        <w:t>Data Limitations</w:t>
      </w:r>
      <w:r w:rsidRPr="001F5002">
        <w:t xml:space="preserve"> section in the MDR based on LexisNexis Fraud Intelligence Model V1: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2752"/>
        <w:gridCol w:w="2248"/>
        <w:gridCol w:w="2717"/>
      </w:tblGrid>
      <w:tr w:rsidR="001F5002" w:rsidRPr="001F5002" w14:paraId="4835CB4F" w14:textId="77777777" w:rsidTr="001F5002">
        <w:trPr>
          <w:tblHeader/>
          <w:tblCellSpacing w:w="15" w:type="dxa"/>
        </w:trPr>
        <w:tc>
          <w:tcPr>
            <w:tcW w:w="0" w:type="auto"/>
            <w:vAlign w:val="center"/>
            <w:hideMark/>
          </w:tcPr>
          <w:p w14:paraId="2E5C076B" w14:textId="77777777" w:rsidR="001F5002" w:rsidRPr="001F5002" w:rsidRDefault="001F5002" w:rsidP="001F5002">
            <w:pPr>
              <w:rPr>
                <w:b/>
                <w:bCs/>
              </w:rPr>
            </w:pPr>
            <w:r w:rsidRPr="001F5002">
              <w:rPr>
                <w:b/>
                <w:bCs/>
              </w:rPr>
              <w:lastRenderedPageBreak/>
              <w:t>Limitation Name</w:t>
            </w:r>
          </w:p>
        </w:tc>
        <w:tc>
          <w:tcPr>
            <w:tcW w:w="0" w:type="auto"/>
            <w:vAlign w:val="center"/>
            <w:hideMark/>
          </w:tcPr>
          <w:p w14:paraId="1B9571D5" w14:textId="77777777" w:rsidR="001F5002" w:rsidRPr="001F5002" w:rsidRDefault="001F5002" w:rsidP="001F5002">
            <w:pPr>
              <w:rPr>
                <w:b/>
                <w:bCs/>
              </w:rPr>
            </w:pPr>
            <w:r w:rsidRPr="001F5002">
              <w:rPr>
                <w:b/>
                <w:bCs/>
              </w:rPr>
              <w:t>Limitation Description</w:t>
            </w:r>
          </w:p>
        </w:tc>
        <w:tc>
          <w:tcPr>
            <w:tcW w:w="0" w:type="auto"/>
            <w:vAlign w:val="center"/>
            <w:hideMark/>
          </w:tcPr>
          <w:p w14:paraId="4F3CC9AD" w14:textId="77777777" w:rsidR="001F5002" w:rsidRPr="001F5002" w:rsidRDefault="001F5002" w:rsidP="001F5002">
            <w:pPr>
              <w:rPr>
                <w:b/>
                <w:bCs/>
              </w:rPr>
            </w:pPr>
            <w:r w:rsidRPr="001F5002">
              <w:rPr>
                <w:b/>
                <w:bCs/>
              </w:rPr>
              <w:t>Impact on Business Use</w:t>
            </w:r>
          </w:p>
        </w:tc>
        <w:tc>
          <w:tcPr>
            <w:tcW w:w="0" w:type="auto"/>
            <w:vAlign w:val="center"/>
            <w:hideMark/>
          </w:tcPr>
          <w:p w14:paraId="6A11CEC2" w14:textId="77777777" w:rsidR="001F5002" w:rsidRPr="001F5002" w:rsidRDefault="001F5002" w:rsidP="001F5002">
            <w:pPr>
              <w:rPr>
                <w:b/>
                <w:bCs/>
              </w:rPr>
            </w:pPr>
            <w:r w:rsidRPr="001F5002">
              <w:rPr>
                <w:b/>
                <w:bCs/>
              </w:rPr>
              <w:t>Monitoring Description &amp; Frequency</w:t>
            </w:r>
          </w:p>
        </w:tc>
      </w:tr>
      <w:tr w:rsidR="001F5002" w:rsidRPr="001F5002" w14:paraId="45D1B2C4" w14:textId="77777777" w:rsidTr="001F5002">
        <w:trPr>
          <w:tblCellSpacing w:w="15" w:type="dxa"/>
        </w:trPr>
        <w:tc>
          <w:tcPr>
            <w:tcW w:w="0" w:type="auto"/>
            <w:vAlign w:val="center"/>
            <w:hideMark/>
          </w:tcPr>
          <w:p w14:paraId="52C55F94" w14:textId="77777777" w:rsidR="001F5002" w:rsidRPr="001F5002" w:rsidRDefault="001F5002" w:rsidP="001F5002">
            <w:r w:rsidRPr="001F5002">
              <w:rPr>
                <w:b/>
                <w:bCs/>
              </w:rPr>
              <w:t>Temporal Data Gaps</w:t>
            </w:r>
          </w:p>
        </w:tc>
        <w:tc>
          <w:tcPr>
            <w:tcW w:w="0" w:type="auto"/>
            <w:vAlign w:val="center"/>
            <w:hideMark/>
          </w:tcPr>
          <w:p w14:paraId="78F08E59" w14:textId="77777777" w:rsidR="001F5002" w:rsidRPr="001F5002" w:rsidRDefault="001F5002" w:rsidP="001F5002">
            <w:r w:rsidRPr="001F5002">
              <w:t>Training data was collected from specific historical periods and may not capture shifts in fraud patterns over time.</w:t>
            </w:r>
          </w:p>
        </w:tc>
        <w:tc>
          <w:tcPr>
            <w:tcW w:w="0" w:type="auto"/>
            <w:vAlign w:val="center"/>
            <w:hideMark/>
          </w:tcPr>
          <w:p w14:paraId="3F91E784" w14:textId="77777777" w:rsidR="001F5002" w:rsidRPr="001F5002" w:rsidRDefault="001F5002" w:rsidP="001F5002">
            <w:r w:rsidRPr="001F5002">
              <w:t>Potential decrease in predictive accuracy if fraud patterns change significantly in future periods.</w:t>
            </w:r>
          </w:p>
        </w:tc>
        <w:tc>
          <w:tcPr>
            <w:tcW w:w="0" w:type="auto"/>
            <w:vAlign w:val="center"/>
            <w:hideMark/>
          </w:tcPr>
          <w:p w14:paraId="5B6B7E1B" w14:textId="77777777" w:rsidR="001F5002" w:rsidRPr="001F5002" w:rsidRDefault="001F5002" w:rsidP="001F5002">
            <w:r w:rsidRPr="001F5002">
              <w:t>Monitor the model's AUC and FDR quarterly on out-of-time (OOT) datasets to ensure consistent performance.</w:t>
            </w:r>
          </w:p>
        </w:tc>
      </w:tr>
      <w:tr w:rsidR="001F5002" w:rsidRPr="001F5002" w14:paraId="294C99F3" w14:textId="77777777" w:rsidTr="001F5002">
        <w:trPr>
          <w:tblCellSpacing w:w="15" w:type="dxa"/>
        </w:trPr>
        <w:tc>
          <w:tcPr>
            <w:tcW w:w="0" w:type="auto"/>
            <w:vAlign w:val="center"/>
            <w:hideMark/>
          </w:tcPr>
          <w:p w14:paraId="18C3E4B1" w14:textId="77777777" w:rsidR="001F5002" w:rsidRPr="001F5002" w:rsidRDefault="001F5002" w:rsidP="001F5002">
            <w:r w:rsidRPr="001F5002">
              <w:rPr>
                <w:b/>
                <w:bCs/>
              </w:rPr>
              <w:t>Rare Fraud Examples</w:t>
            </w:r>
          </w:p>
        </w:tc>
        <w:tc>
          <w:tcPr>
            <w:tcW w:w="0" w:type="auto"/>
            <w:vAlign w:val="center"/>
            <w:hideMark/>
          </w:tcPr>
          <w:p w14:paraId="2E292BD3" w14:textId="77777777" w:rsidR="001F5002" w:rsidRPr="001F5002" w:rsidRDefault="001F5002" w:rsidP="001F5002">
            <w:r w:rsidRPr="001F5002">
              <w:t xml:space="preserve">Limited number of rare fraud cases in the dataset, which may underrepresent certain types of fraud </w:t>
            </w:r>
            <w:proofErr w:type="spellStart"/>
            <w:r w:rsidRPr="001F5002">
              <w:t>behavior</w:t>
            </w:r>
            <w:proofErr w:type="spellEnd"/>
            <w:r w:rsidRPr="001F5002">
              <w:t>.</w:t>
            </w:r>
          </w:p>
        </w:tc>
        <w:tc>
          <w:tcPr>
            <w:tcW w:w="0" w:type="auto"/>
            <w:vAlign w:val="center"/>
            <w:hideMark/>
          </w:tcPr>
          <w:p w14:paraId="7C83091A" w14:textId="77777777" w:rsidR="001F5002" w:rsidRPr="001F5002" w:rsidRDefault="001F5002" w:rsidP="001F5002">
            <w:r w:rsidRPr="001F5002">
              <w:t>May reduce model sensitivity to rare but critical fraud scenarios.</w:t>
            </w:r>
          </w:p>
        </w:tc>
        <w:tc>
          <w:tcPr>
            <w:tcW w:w="0" w:type="auto"/>
            <w:vAlign w:val="center"/>
            <w:hideMark/>
          </w:tcPr>
          <w:p w14:paraId="4A012747" w14:textId="77777777" w:rsidR="001F5002" w:rsidRPr="001F5002" w:rsidRDefault="001F5002" w:rsidP="001F5002">
            <w:r w:rsidRPr="001F5002">
              <w:t>Periodically review model outputs for missed rare fraud cases and augment training data with newly flagged cases.</w:t>
            </w:r>
          </w:p>
        </w:tc>
      </w:tr>
      <w:tr w:rsidR="001F5002" w:rsidRPr="001F5002" w14:paraId="25423B36" w14:textId="77777777" w:rsidTr="001F5002">
        <w:trPr>
          <w:tblCellSpacing w:w="15" w:type="dxa"/>
        </w:trPr>
        <w:tc>
          <w:tcPr>
            <w:tcW w:w="0" w:type="auto"/>
            <w:vAlign w:val="center"/>
            <w:hideMark/>
          </w:tcPr>
          <w:p w14:paraId="7ABAB9DE" w14:textId="77777777" w:rsidR="001F5002" w:rsidRPr="001F5002" w:rsidRDefault="001F5002" w:rsidP="001F5002">
            <w:r w:rsidRPr="001F5002">
              <w:rPr>
                <w:b/>
                <w:bCs/>
              </w:rPr>
              <w:t xml:space="preserve">Data </w:t>
            </w:r>
            <w:proofErr w:type="spellStart"/>
            <w:r w:rsidRPr="001F5002">
              <w:rPr>
                <w:b/>
                <w:bCs/>
              </w:rPr>
              <w:t>Labeling</w:t>
            </w:r>
            <w:proofErr w:type="spellEnd"/>
            <w:r w:rsidRPr="001F5002">
              <w:rPr>
                <w:b/>
                <w:bCs/>
              </w:rPr>
              <w:t xml:space="preserve"> Accuracy</w:t>
            </w:r>
          </w:p>
        </w:tc>
        <w:tc>
          <w:tcPr>
            <w:tcW w:w="0" w:type="auto"/>
            <w:vAlign w:val="center"/>
            <w:hideMark/>
          </w:tcPr>
          <w:p w14:paraId="68797B7F" w14:textId="77777777" w:rsidR="001F5002" w:rsidRPr="001F5002" w:rsidRDefault="001F5002" w:rsidP="001F5002">
            <w:r w:rsidRPr="001F5002">
              <w:t xml:space="preserve">Fraud and non-fraud labels rely on manual or semi-automated processes, introducing potential errors in target </w:t>
            </w:r>
            <w:proofErr w:type="spellStart"/>
            <w:r w:rsidRPr="001F5002">
              <w:t>labeling</w:t>
            </w:r>
            <w:proofErr w:type="spellEnd"/>
            <w:r w:rsidRPr="001F5002">
              <w:t>.</w:t>
            </w:r>
          </w:p>
        </w:tc>
        <w:tc>
          <w:tcPr>
            <w:tcW w:w="0" w:type="auto"/>
            <w:vAlign w:val="center"/>
            <w:hideMark/>
          </w:tcPr>
          <w:p w14:paraId="1783AF1A" w14:textId="77777777" w:rsidR="001F5002" w:rsidRPr="001F5002" w:rsidRDefault="001F5002" w:rsidP="001F5002">
            <w:proofErr w:type="spellStart"/>
            <w:r w:rsidRPr="001F5002">
              <w:t>Mislabeling</w:t>
            </w:r>
            <w:proofErr w:type="spellEnd"/>
            <w:r w:rsidRPr="001F5002">
              <w:t xml:space="preserve"> could lead to incorrect scoring or model bias.</w:t>
            </w:r>
          </w:p>
        </w:tc>
        <w:tc>
          <w:tcPr>
            <w:tcW w:w="0" w:type="auto"/>
            <w:vAlign w:val="center"/>
            <w:hideMark/>
          </w:tcPr>
          <w:p w14:paraId="31E12481" w14:textId="77777777" w:rsidR="001F5002" w:rsidRPr="001F5002" w:rsidRDefault="001F5002" w:rsidP="001F5002">
            <w:r w:rsidRPr="001F5002">
              <w:t xml:space="preserve">Conduct biannual label audits by comparing flagged cases with post-investigation outcomes to improve </w:t>
            </w:r>
            <w:proofErr w:type="spellStart"/>
            <w:r w:rsidRPr="001F5002">
              <w:t>labeling</w:t>
            </w:r>
            <w:proofErr w:type="spellEnd"/>
            <w:r w:rsidRPr="001F5002">
              <w:t xml:space="preserve"> accuracy.</w:t>
            </w:r>
          </w:p>
        </w:tc>
      </w:tr>
      <w:tr w:rsidR="001F5002" w:rsidRPr="001F5002" w14:paraId="355C2CE5" w14:textId="77777777" w:rsidTr="001F5002">
        <w:trPr>
          <w:tblCellSpacing w:w="15" w:type="dxa"/>
        </w:trPr>
        <w:tc>
          <w:tcPr>
            <w:tcW w:w="0" w:type="auto"/>
            <w:vAlign w:val="center"/>
            <w:hideMark/>
          </w:tcPr>
          <w:p w14:paraId="78E651FE" w14:textId="77777777" w:rsidR="001F5002" w:rsidRPr="001F5002" w:rsidRDefault="001F5002" w:rsidP="001F5002">
            <w:r w:rsidRPr="001F5002">
              <w:rPr>
                <w:b/>
                <w:bCs/>
              </w:rPr>
              <w:t>Incomplete Feature Data</w:t>
            </w:r>
          </w:p>
        </w:tc>
        <w:tc>
          <w:tcPr>
            <w:tcW w:w="0" w:type="auto"/>
            <w:vAlign w:val="center"/>
            <w:hideMark/>
          </w:tcPr>
          <w:p w14:paraId="36E47323" w14:textId="77777777" w:rsidR="001F5002" w:rsidRPr="001F5002" w:rsidRDefault="001F5002" w:rsidP="001F5002">
            <w:r w:rsidRPr="001F5002">
              <w:t>Missing or incomplete data in key variables, such as transaction history or identity attributes.</w:t>
            </w:r>
          </w:p>
        </w:tc>
        <w:tc>
          <w:tcPr>
            <w:tcW w:w="0" w:type="auto"/>
            <w:vAlign w:val="center"/>
            <w:hideMark/>
          </w:tcPr>
          <w:p w14:paraId="7521D4E9" w14:textId="77777777" w:rsidR="001F5002" w:rsidRPr="001F5002" w:rsidRDefault="001F5002" w:rsidP="001F5002">
            <w:r w:rsidRPr="001F5002">
              <w:t>May impact model performance by reducing the effectiveness of certain predictive features.</w:t>
            </w:r>
          </w:p>
        </w:tc>
        <w:tc>
          <w:tcPr>
            <w:tcW w:w="0" w:type="auto"/>
            <w:vAlign w:val="center"/>
            <w:hideMark/>
          </w:tcPr>
          <w:p w14:paraId="2DF1EEA0" w14:textId="77777777" w:rsidR="001F5002" w:rsidRPr="001F5002" w:rsidRDefault="001F5002" w:rsidP="001F5002">
            <w:r w:rsidRPr="001F5002">
              <w:t>Monitor the proportion of missing data in production datasets and implement automated imputation checks monthly.</w:t>
            </w:r>
          </w:p>
        </w:tc>
      </w:tr>
      <w:tr w:rsidR="001F5002" w:rsidRPr="001F5002" w14:paraId="4C026AF9" w14:textId="77777777" w:rsidTr="001F5002">
        <w:trPr>
          <w:tblCellSpacing w:w="15" w:type="dxa"/>
        </w:trPr>
        <w:tc>
          <w:tcPr>
            <w:tcW w:w="0" w:type="auto"/>
            <w:vAlign w:val="center"/>
            <w:hideMark/>
          </w:tcPr>
          <w:p w14:paraId="2C330C95" w14:textId="77777777" w:rsidR="001F5002" w:rsidRPr="001F5002" w:rsidRDefault="001F5002" w:rsidP="001F5002">
            <w:r w:rsidRPr="001F5002">
              <w:rPr>
                <w:b/>
                <w:bCs/>
              </w:rPr>
              <w:t>Data Drift</w:t>
            </w:r>
          </w:p>
        </w:tc>
        <w:tc>
          <w:tcPr>
            <w:tcW w:w="0" w:type="auto"/>
            <w:vAlign w:val="center"/>
            <w:hideMark/>
          </w:tcPr>
          <w:p w14:paraId="3D767D3B" w14:textId="77777777" w:rsidR="001F5002" w:rsidRPr="001F5002" w:rsidRDefault="001F5002" w:rsidP="001F5002">
            <w:r w:rsidRPr="001F5002">
              <w:t>Input feature distributions in production may diverge from those in the training dataset.</w:t>
            </w:r>
          </w:p>
        </w:tc>
        <w:tc>
          <w:tcPr>
            <w:tcW w:w="0" w:type="auto"/>
            <w:vAlign w:val="center"/>
            <w:hideMark/>
          </w:tcPr>
          <w:p w14:paraId="05AF16C1" w14:textId="77777777" w:rsidR="001F5002" w:rsidRPr="001F5002" w:rsidRDefault="001F5002" w:rsidP="001F5002">
            <w:r w:rsidRPr="001F5002">
              <w:t>Could lead to reduced model performance and stability.</w:t>
            </w:r>
          </w:p>
        </w:tc>
        <w:tc>
          <w:tcPr>
            <w:tcW w:w="0" w:type="auto"/>
            <w:vAlign w:val="center"/>
            <w:hideMark/>
          </w:tcPr>
          <w:p w14:paraId="2908A72E" w14:textId="77777777" w:rsidR="001F5002" w:rsidRPr="001F5002" w:rsidRDefault="001F5002" w:rsidP="001F5002">
            <w:r w:rsidRPr="001F5002">
              <w:t>Use data drift detection tools to track feature distribution changes quarterly and retrain the model if significant drift is observed.</w:t>
            </w:r>
          </w:p>
        </w:tc>
      </w:tr>
      <w:tr w:rsidR="001F5002" w:rsidRPr="001F5002" w14:paraId="6B8B0FA1" w14:textId="77777777" w:rsidTr="001F5002">
        <w:trPr>
          <w:tblCellSpacing w:w="15" w:type="dxa"/>
        </w:trPr>
        <w:tc>
          <w:tcPr>
            <w:tcW w:w="0" w:type="auto"/>
            <w:vAlign w:val="center"/>
            <w:hideMark/>
          </w:tcPr>
          <w:p w14:paraId="13CEB571" w14:textId="77777777" w:rsidR="001F5002" w:rsidRPr="001F5002" w:rsidRDefault="001F5002" w:rsidP="001F5002">
            <w:r w:rsidRPr="001F5002">
              <w:rPr>
                <w:b/>
                <w:bCs/>
              </w:rPr>
              <w:t>Outdated Fraud Definitions</w:t>
            </w:r>
          </w:p>
        </w:tc>
        <w:tc>
          <w:tcPr>
            <w:tcW w:w="0" w:type="auto"/>
            <w:vAlign w:val="center"/>
            <w:hideMark/>
          </w:tcPr>
          <w:p w14:paraId="7C136180" w14:textId="77777777" w:rsidR="001F5002" w:rsidRPr="001F5002" w:rsidRDefault="001F5002" w:rsidP="001F5002">
            <w:r w:rsidRPr="001F5002">
              <w:t>Definitions of "fraud" and "non-fraud" evolve over time, potentially mismatching current business needs.</w:t>
            </w:r>
          </w:p>
        </w:tc>
        <w:tc>
          <w:tcPr>
            <w:tcW w:w="0" w:type="auto"/>
            <w:vAlign w:val="center"/>
            <w:hideMark/>
          </w:tcPr>
          <w:p w14:paraId="0E906736" w14:textId="77777777" w:rsidR="001F5002" w:rsidRPr="001F5002" w:rsidRDefault="001F5002" w:rsidP="001F5002">
            <w:r w:rsidRPr="001F5002">
              <w:t>Could limit the model’s ability to address new fraud techniques effectively.</w:t>
            </w:r>
          </w:p>
        </w:tc>
        <w:tc>
          <w:tcPr>
            <w:tcW w:w="0" w:type="auto"/>
            <w:vAlign w:val="center"/>
            <w:hideMark/>
          </w:tcPr>
          <w:p w14:paraId="54D431E5" w14:textId="77777777" w:rsidR="001F5002" w:rsidRPr="001F5002" w:rsidRDefault="001F5002" w:rsidP="001F5002">
            <w:r w:rsidRPr="001F5002">
              <w:t xml:space="preserve">Conduct annual reviews of fraud definitions with subject matter experts to ensure alignment with current fraud </w:t>
            </w:r>
            <w:proofErr w:type="spellStart"/>
            <w:r w:rsidRPr="001F5002">
              <w:t>behavior</w:t>
            </w:r>
            <w:proofErr w:type="spellEnd"/>
            <w:r w:rsidRPr="001F5002">
              <w:t>.</w:t>
            </w:r>
          </w:p>
        </w:tc>
      </w:tr>
    </w:tbl>
    <w:p w14:paraId="50E393D7" w14:textId="77777777" w:rsidR="001F5002" w:rsidRPr="001F5002" w:rsidRDefault="001F5002" w:rsidP="001F5002">
      <w:r w:rsidRPr="001F5002">
        <w:t>This table provides a comprehensive overview of data limitations, their potential business impact, and the corresponding monitoring measures to mitigate associated risks.</w:t>
      </w:r>
    </w:p>
    <w:p w14:paraId="7485DC75" w14:textId="77777777" w:rsidR="001F5002" w:rsidRDefault="001F5002"/>
    <w:p w14:paraId="57D5D27A" w14:textId="7B0C9F5E" w:rsidR="006C7174" w:rsidRDefault="006C7174">
      <w:r>
        <w:t>MODEL Assumptions:</w:t>
      </w:r>
    </w:p>
    <w:p w14:paraId="407E7C44" w14:textId="77777777" w:rsidR="006C7174" w:rsidRPr="006C7174" w:rsidRDefault="006C7174" w:rsidP="006C7174">
      <w:r w:rsidRPr="006C7174">
        <w:t xml:space="preserve">Here's a response table for the </w:t>
      </w:r>
      <w:r w:rsidRPr="006C7174">
        <w:rPr>
          <w:b/>
          <w:bCs/>
        </w:rPr>
        <w:t>Model Assumptions</w:t>
      </w:r>
      <w:r w:rsidRPr="006C7174">
        <w:t xml:space="preserve"> section in the MDR based on the provided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3745"/>
        <w:gridCol w:w="2000"/>
        <w:gridCol w:w="2061"/>
      </w:tblGrid>
      <w:tr w:rsidR="006C7174" w:rsidRPr="006C7174" w14:paraId="011840FA" w14:textId="77777777" w:rsidTr="006C7174">
        <w:trPr>
          <w:tblHeader/>
          <w:tblCellSpacing w:w="15" w:type="dxa"/>
        </w:trPr>
        <w:tc>
          <w:tcPr>
            <w:tcW w:w="0" w:type="auto"/>
            <w:vAlign w:val="center"/>
            <w:hideMark/>
          </w:tcPr>
          <w:p w14:paraId="4F720981" w14:textId="77777777" w:rsidR="006C7174" w:rsidRPr="006C7174" w:rsidRDefault="006C7174" w:rsidP="006C7174">
            <w:pPr>
              <w:rPr>
                <w:b/>
                <w:bCs/>
              </w:rPr>
            </w:pPr>
            <w:r w:rsidRPr="006C7174">
              <w:rPr>
                <w:b/>
                <w:bCs/>
              </w:rPr>
              <w:lastRenderedPageBreak/>
              <w:t>Assumption Name</w:t>
            </w:r>
          </w:p>
        </w:tc>
        <w:tc>
          <w:tcPr>
            <w:tcW w:w="0" w:type="auto"/>
            <w:vAlign w:val="center"/>
            <w:hideMark/>
          </w:tcPr>
          <w:p w14:paraId="64E37AAB" w14:textId="77777777" w:rsidR="006C7174" w:rsidRPr="006C7174" w:rsidRDefault="006C7174" w:rsidP="006C7174">
            <w:pPr>
              <w:rPr>
                <w:b/>
                <w:bCs/>
              </w:rPr>
            </w:pPr>
            <w:r w:rsidRPr="006C7174">
              <w:rPr>
                <w:b/>
                <w:bCs/>
              </w:rPr>
              <w:t>Assumption Description</w:t>
            </w:r>
          </w:p>
        </w:tc>
        <w:tc>
          <w:tcPr>
            <w:tcW w:w="0" w:type="auto"/>
            <w:vAlign w:val="center"/>
            <w:hideMark/>
          </w:tcPr>
          <w:p w14:paraId="05E5E60A" w14:textId="77777777" w:rsidR="006C7174" w:rsidRPr="006C7174" w:rsidRDefault="006C7174" w:rsidP="006C7174">
            <w:pPr>
              <w:rPr>
                <w:b/>
                <w:bCs/>
              </w:rPr>
            </w:pPr>
            <w:r w:rsidRPr="006C7174">
              <w:rPr>
                <w:b/>
                <w:bCs/>
              </w:rPr>
              <w:t>Materiality of Assumption</w:t>
            </w:r>
          </w:p>
        </w:tc>
        <w:tc>
          <w:tcPr>
            <w:tcW w:w="0" w:type="auto"/>
            <w:vAlign w:val="center"/>
            <w:hideMark/>
          </w:tcPr>
          <w:p w14:paraId="5FB6C108" w14:textId="77777777" w:rsidR="006C7174" w:rsidRPr="006C7174" w:rsidRDefault="006C7174" w:rsidP="006C7174">
            <w:pPr>
              <w:rPr>
                <w:b/>
                <w:bCs/>
              </w:rPr>
            </w:pPr>
            <w:r w:rsidRPr="006C7174">
              <w:rPr>
                <w:b/>
                <w:bCs/>
              </w:rPr>
              <w:t>Rationale for This Assumption</w:t>
            </w:r>
          </w:p>
        </w:tc>
      </w:tr>
      <w:tr w:rsidR="006C7174" w:rsidRPr="006C7174" w14:paraId="4943D1FA" w14:textId="77777777" w:rsidTr="006C7174">
        <w:trPr>
          <w:tblCellSpacing w:w="15" w:type="dxa"/>
        </w:trPr>
        <w:tc>
          <w:tcPr>
            <w:tcW w:w="0" w:type="auto"/>
            <w:vAlign w:val="center"/>
            <w:hideMark/>
          </w:tcPr>
          <w:p w14:paraId="1A816DF8" w14:textId="77777777" w:rsidR="006C7174" w:rsidRPr="006C7174" w:rsidRDefault="006C7174" w:rsidP="006C7174">
            <w:r w:rsidRPr="006C7174">
              <w:rPr>
                <w:b/>
                <w:bCs/>
              </w:rPr>
              <w:t>Data Stability</w:t>
            </w:r>
          </w:p>
        </w:tc>
        <w:tc>
          <w:tcPr>
            <w:tcW w:w="0" w:type="auto"/>
            <w:vAlign w:val="center"/>
            <w:hideMark/>
          </w:tcPr>
          <w:p w14:paraId="726490F1" w14:textId="77777777" w:rsidR="006C7174" w:rsidRPr="006C7174" w:rsidRDefault="006C7174" w:rsidP="006C7174">
            <w:r w:rsidRPr="006C7174">
              <w:t xml:space="preserve">The model assumes that historical patterns and relationships between features and the target variable will remain stable over time. Model performance depends on the consistency of data reporting and consumer </w:t>
            </w:r>
            <w:proofErr w:type="spellStart"/>
            <w:r w:rsidRPr="006C7174">
              <w:t>behavior</w:t>
            </w:r>
            <w:proofErr w:type="spellEnd"/>
            <w:r w:rsidRPr="006C7174">
              <w:t xml:space="preserve"> patterns. Significant changes in data quality or consumer </w:t>
            </w:r>
            <w:proofErr w:type="spellStart"/>
            <w:r w:rsidRPr="006C7174">
              <w:t>behavior</w:t>
            </w:r>
            <w:proofErr w:type="spellEnd"/>
            <w:r w:rsidRPr="006C7174">
              <w:t xml:space="preserve"> may impact stability.</w:t>
            </w:r>
          </w:p>
        </w:tc>
        <w:tc>
          <w:tcPr>
            <w:tcW w:w="0" w:type="auto"/>
            <w:vAlign w:val="center"/>
            <w:hideMark/>
          </w:tcPr>
          <w:p w14:paraId="17196EB1" w14:textId="77777777" w:rsidR="006C7174" w:rsidRPr="006C7174" w:rsidRDefault="006C7174" w:rsidP="006C7174">
            <w:r w:rsidRPr="006C7174">
              <w:t xml:space="preserve">High: Extreme shifts in consumer </w:t>
            </w:r>
            <w:proofErr w:type="spellStart"/>
            <w:r w:rsidRPr="006C7174">
              <w:t>behavior</w:t>
            </w:r>
            <w:proofErr w:type="spellEnd"/>
            <w:r w:rsidRPr="006C7174">
              <w:t xml:space="preserve"> or reporting could lead to degraded model performance.</w:t>
            </w:r>
          </w:p>
        </w:tc>
        <w:tc>
          <w:tcPr>
            <w:tcW w:w="0" w:type="auto"/>
            <w:vAlign w:val="center"/>
            <w:hideMark/>
          </w:tcPr>
          <w:p w14:paraId="45B84535" w14:textId="77777777" w:rsidR="006C7174" w:rsidRPr="006C7174" w:rsidRDefault="006C7174" w:rsidP="006C7174">
            <w:r w:rsidRPr="006C7174">
              <w:t>Quantitative methodology-driven: Ensures alignment with historical trends observed in training data.</w:t>
            </w:r>
          </w:p>
        </w:tc>
      </w:tr>
      <w:tr w:rsidR="006C7174" w:rsidRPr="006C7174" w14:paraId="0935EEBA" w14:textId="77777777" w:rsidTr="006C7174">
        <w:trPr>
          <w:tblCellSpacing w:w="15" w:type="dxa"/>
        </w:trPr>
        <w:tc>
          <w:tcPr>
            <w:tcW w:w="0" w:type="auto"/>
            <w:vAlign w:val="center"/>
            <w:hideMark/>
          </w:tcPr>
          <w:p w14:paraId="49DB47D9" w14:textId="77777777" w:rsidR="006C7174" w:rsidRPr="006C7174" w:rsidRDefault="006C7174" w:rsidP="006C7174">
            <w:r w:rsidRPr="006C7174">
              <w:rPr>
                <w:b/>
                <w:bCs/>
              </w:rPr>
              <w:t>Score Application</w:t>
            </w:r>
          </w:p>
        </w:tc>
        <w:tc>
          <w:tcPr>
            <w:tcW w:w="0" w:type="auto"/>
            <w:vAlign w:val="center"/>
            <w:hideMark/>
          </w:tcPr>
          <w:p w14:paraId="7C603C7A" w14:textId="77777777" w:rsidR="006C7174" w:rsidRPr="006C7174" w:rsidRDefault="006C7174" w:rsidP="006C7174">
            <w:r w:rsidRPr="006C7174">
              <w:t>The score ranks individuals based on the probability of the target outcome occurring, not as an exact probability estimate. Model performance depends on the live population matching the development population and the stability of feature-target correlations over time.</w:t>
            </w:r>
          </w:p>
        </w:tc>
        <w:tc>
          <w:tcPr>
            <w:tcW w:w="0" w:type="auto"/>
            <w:vAlign w:val="center"/>
            <w:hideMark/>
          </w:tcPr>
          <w:p w14:paraId="12FCFCB3" w14:textId="77777777" w:rsidR="006C7174" w:rsidRPr="006C7174" w:rsidRDefault="006C7174" w:rsidP="006C7174">
            <w:r w:rsidRPr="006C7174">
              <w:t>High: Variations between the development and live populations can reduce model effectiveness.</w:t>
            </w:r>
          </w:p>
        </w:tc>
        <w:tc>
          <w:tcPr>
            <w:tcW w:w="0" w:type="auto"/>
            <w:vAlign w:val="center"/>
            <w:hideMark/>
          </w:tcPr>
          <w:p w14:paraId="0E77138E" w14:textId="77777777" w:rsidR="006C7174" w:rsidRPr="006C7174" w:rsidRDefault="006C7174" w:rsidP="006C7174">
            <w:r w:rsidRPr="006C7174">
              <w:t>Business-driven: Ensures the score maintains its purpose of ranking risk appropriately.</w:t>
            </w:r>
          </w:p>
        </w:tc>
      </w:tr>
    </w:tbl>
    <w:p w14:paraId="75141BA0" w14:textId="77777777" w:rsidR="006C7174" w:rsidRPr="006C7174" w:rsidRDefault="006C7174" w:rsidP="006C7174">
      <w:r w:rsidRPr="006C7174">
        <w:t>This table reflects the critical assumptions made during model development and the rationale for their implementation. These assumptions ensure that the model is robust and aligned with the intended application.</w:t>
      </w:r>
    </w:p>
    <w:p w14:paraId="051A2A8F" w14:textId="168A4521" w:rsidR="006C7174" w:rsidRDefault="002C5BF7">
      <w:r>
        <w:t>Table 1</w:t>
      </w:r>
    </w:p>
    <w:p w14:paraId="7107277C" w14:textId="77777777" w:rsidR="002C5BF7" w:rsidRPr="002C5BF7" w:rsidRDefault="002C5BF7" w:rsidP="002C5BF7">
      <w:r w:rsidRPr="002C5BF7">
        <w:t xml:space="preserve">Here is the response table for the </w:t>
      </w:r>
      <w:r w:rsidRPr="002C5BF7">
        <w:rPr>
          <w:b/>
          <w:bCs/>
        </w:rPr>
        <w:t>Model Limitations</w:t>
      </w:r>
      <w:r w:rsidRPr="002C5BF7">
        <w:t xml:space="preserve"> section based on the listed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3347"/>
        <w:gridCol w:w="2158"/>
        <w:gridCol w:w="2241"/>
      </w:tblGrid>
      <w:tr w:rsidR="002C5BF7" w:rsidRPr="002C5BF7" w14:paraId="28A3C357" w14:textId="77777777" w:rsidTr="002C5BF7">
        <w:trPr>
          <w:tblHeader/>
          <w:tblCellSpacing w:w="15" w:type="dxa"/>
        </w:trPr>
        <w:tc>
          <w:tcPr>
            <w:tcW w:w="0" w:type="auto"/>
            <w:vAlign w:val="center"/>
            <w:hideMark/>
          </w:tcPr>
          <w:p w14:paraId="3A82A1D4" w14:textId="77777777" w:rsidR="002C5BF7" w:rsidRPr="002C5BF7" w:rsidRDefault="002C5BF7" w:rsidP="002C5BF7">
            <w:pPr>
              <w:rPr>
                <w:b/>
                <w:bCs/>
              </w:rPr>
            </w:pPr>
            <w:r w:rsidRPr="002C5BF7">
              <w:rPr>
                <w:b/>
                <w:bCs/>
              </w:rPr>
              <w:t>Limitation Name</w:t>
            </w:r>
          </w:p>
        </w:tc>
        <w:tc>
          <w:tcPr>
            <w:tcW w:w="0" w:type="auto"/>
            <w:vAlign w:val="center"/>
            <w:hideMark/>
          </w:tcPr>
          <w:p w14:paraId="40871D81" w14:textId="77777777" w:rsidR="002C5BF7" w:rsidRPr="002C5BF7" w:rsidRDefault="002C5BF7" w:rsidP="002C5BF7">
            <w:pPr>
              <w:rPr>
                <w:b/>
                <w:bCs/>
              </w:rPr>
            </w:pPr>
            <w:r w:rsidRPr="002C5BF7">
              <w:rPr>
                <w:b/>
                <w:bCs/>
              </w:rPr>
              <w:t>Limitation Description</w:t>
            </w:r>
          </w:p>
        </w:tc>
        <w:tc>
          <w:tcPr>
            <w:tcW w:w="0" w:type="auto"/>
            <w:vAlign w:val="center"/>
            <w:hideMark/>
          </w:tcPr>
          <w:p w14:paraId="1A83AF63" w14:textId="77777777" w:rsidR="002C5BF7" w:rsidRPr="002C5BF7" w:rsidRDefault="002C5BF7" w:rsidP="002C5BF7">
            <w:pPr>
              <w:rPr>
                <w:b/>
                <w:bCs/>
              </w:rPr>
            </w:pPr>
            <w:r w:rsidRPr="002C5BF7">
              <w:rPr>
                <w:b/>
                <w:bCs/>
              </w:rPr>
              <w:t>Impact on Business Use</w:t>
            </w:r>
          </w:p>
        </w:tc>
        <w:tc>
          <w:tcPr>
            <w:tcW w:w="0" w:type="auto"/>
            <w:vAlign w:val="center"/>
            <w:hideMark/>
          </w:tcPr>
          <w:p w14:paraId="48EC346B" w14:textId="77777777" w:rsidR="002C5BF7" w:rsidRPr="002C5BF7" w:rsidRDefault="002C5BF7" w:rsidP="002C5BF7">
            <w:pPr>
              <w:rPr>
                <w:b/>
                <w:bCs/>
              </w:rPr>
            </w:pPr>
            <w:r w:rsidRPr="002C5BF7">
              <w:rPr>
                <w:b/>
                <w:bCs/>
              </w:rPr>
              <w:t>Monitoring Description &amp; Frequency</w:t>
            </w:r>
          </w:p>
        </w:tc>
      </w:tr>
      <w:tr w:rsidR="002C5BF7" w:rsidRPr="002C5BF7" w14:paraId="4EA2D0B5" w14:textId="77777777" w:rsidTr="002C5BF7">
        <w:trPr>
          <w:tblCellSpacing w:w="15" w:type="dxa"/>
        </w:trPr>
        <w:tc>
          <w:tcPr>
            <w:tcW w:w="0" w:type="auto"/>
            <w:vAlign w:val="center"/>
            <w:hideMark/>
          </w:tcPr>
          <w:p w14:paraId="2D89AB9C" w14:textId="77777777" w:rsidR="002C5BF7" w:rsidRPr="002C5BF7" w:rsidRDefault="002C5BF7" w:rsidP="002C5BF7">
            <w:r w:rsidRPr="002C5BF7">
              <w:rPr>
                <w:b/>
                <w:bCs/>
              </w:rPr>
              <w:t>External Factors</w:t>
            </w:r>
          </w:p>
        </w:tc>
        <w:tc>
          <w:tcPr>
            <w:tcW w:w="0" w:type="auto"/>
            <w:vAlign w:val="center"/>
            <w:hideMark/>
          </w:tcPr>
          <w:p w14:paraId="158952B2" w14:textId="77777777" w:rsidR="002C5BF7" w:rsidRPr="002C5BF7" w:rsidRDefault="002C5BF7" w:rsidP="002C5BF7">
            <w:r w:rsidRPr="002C5BF7">
              <w:t>Model performance relies on external factors such as macroeconomic conditions, customers' business policies, decision-making processes, and portfolio management remaining stable over time. Any significant change in these factors could degrade model performance.</w:t>
            </w:r>
          </w:p>
        </w:tc>
        <w:tc>
          <w:tcPr>
            <w:tcW w:w="0" w:type="auto"/>
            <w:vAlign w:val="center"/>
            <w:hideMark/>
          </w:tcPr>
          <w:p w14:paraId="50363408" w14:textId="77777777" w:rsidR="002C5BF7" w:rsidRPr="002C5BF7" w:rsidRDefault="002C5BF7" w:rsidP="002C5BF7">
            <w:r w:rsidRPr="002C5BF7">
              <w:t>The model's predictive power may decrease if external factors diverge significantly from those present during model development.</w:t>
            </w:r>
          </w:p>
        </w:tc>
        <w:tc>
          <w:tcPr>
            <w:tcW w:w="0" w:type="auto"/>
            <w:vAlign w:val="center"/>
            <w:hideMark/>
          </w:tcPr>
          <w:p w14:paraId="4A76E7AE" w14:textId="77777777" w:rsidR="002C5BF7" w:rsidRPr="002C5BF7" w:rsidRDefault="002C5BF7" w:rsidP="002C5BF7">
            <w:r w:rsidRPr="002C5BF7">
              <w:t>Regular evaluation of external factors and their influence on model performance. Annual reviews of business policy changes.</w:t>
            </w:r>
          </w:p>
        </w:tc>
      </w:tr>
      <w:tr w:rsidR="002C5BF7" w:rsidRPr="002C5BF7" w14:paraId="2F77E836" w14:textId="77777777" w:rsidTr="002C5BF7">
        <w:trPr>
          <w:tblCellSpacing w:w="15" w:type="dxa"/>
        </w:trPr>
        <w:tc>
          <w:tcPr>
            <w:tcW w:w="0" w:type="auto"/>
            <w:vAlign w:val="center"/>
            <w:hideMark/>
          </w:tcPr>
          <w:p w14:paraId="572D8911" w14:textId="77777777" w:rsidR="002C5BF7" w:rsidRPr="002C5BF7" w:rsidRDefault="002C5BF7" w:rsidP="002C5BF7">
            <w:r w:rsidRPr="002C5BF7">
              <w:rPr>
                <w:b/>
                <w:bCs/>
              </w:rPr>
              <w:t>Target Population Alignment</w:t>
            </w:r>
          </w:p>
        </w:tc>
        <w:tc>
          <w:tcPr>
            <w:tcW w:w="0" w:type="auto"/>
            <w:vAlign w:val="center"/>
            <w:hideMark/>
          </w:tcPr>
          <w:p w14:paraId="08F03ECD" w14:textId="77777777" w:rsidR="002C5BF7" w:rsidRPr="002C5BF7" w:rsidRDefault="002C5BF7" w:rsidP="002C5BF7">
            <w:r w:rsidRPr="002C5BF7">
              <w:t xml:space="preserve">The model was developed using pre-book and post-book U.S. bankcard applicant data sourced from internal LexisNexis samples. Differences between live population characteristics and the development </w:t>
            </w:r>
            <w:r w:rsidRPr="002C5BF7">
              <w:lastRenderedPageBreak/>
              <w:t>population may impact performance.</w:t>
            </w:r>
          </w:p>
        </w:tc>
        <w:tc>
          <w:tcPr>
            <w:tcW w:w="0" w:type="auto"/>
            <w:vAlign w:val="center"/>
            <w:hideMark/>
          </w:tcPr>
          <w:p w14:paraId="03A5E7FD" w14:textId="77777777" w:rsidR="002C5BF7" w:rsidRPr="002C5BF7" w:rsidRDefault="002C5BF7" w:rsidP="002C5BF7">
            <w:r w:rsidRPr="002C5BF7">
              <w:lastRenderedPageBreak/>
              <w:t>If the live population differs significantly, the model may fail to accurately identify fraud risk.</w:t>
            </w:r>
          </w:p>
        </w:tc>
        <w:tc>
          <w:tcPr>
            <w:tcW w:w="0" w:type="auto"/>
            <w:vAlign w:val="center"/>
            <w:hideMark/>
          </w:tcPr>
          <w:p w14:paraId="0EC17A27" w14:textId="77777777" w:rsidR="002C5BF7" w:rsidRPr="002C5BF7" w:rsidRDefault="002C5BF7" w:rsidP="002C5BF7">
            <w:r w:rsidRPr="002C5BF7">
              <w:t>Periodic comparison of the live environment population to the training data. Quarterly checks are recommended.</w:t>
            </w:r>
          </w:p>
        </w:tc>
      </w:tr>
      <w:tr w:rsidR="002C5BF7" w:rsidRPr="002C5BF7" w14:paraId="41950C70" w14:textId="77777777" w:rsidTr="002C5BF7">
        <w:trPr>
          <w:tblCellSpacing w:w="15" w:type="dxa"/>
        </w:trPr>
        <w:tc>
          <w:tcPr>
            <w:tcW w:w="0" w:type="auto"/>
            <w:vAlign w:val="center"/>
            <w:hideMark/>
          </w:tcPr>
          <w:p w14:paraId="26142261" w14:textId="77777777" w:rsidR="002C5BF7" w:rsidRPr="002C5BF7" w:rsidRDefault="002C5BF7" w:rsidP="002C5BF7">
            <w:r w:rsidRPr="002C5BF7">
              <w:rPr>
                <w:b/>
                <w:bCs/>
              </w:rPr>
              <w:t>Fraud Tag Consistency</w:t>
            </w:r>
          </w:p>
        </w:tc>
        <w:tc>
          <w:tcPr>
            <w:tcW w:w="0" w:type="auto"/>
            <w:vAlign w:val="center"/>
            <w:hideMark/>
          </w:tcPr>
          <w:p w14:paraId="6D77B701" w14:textId="77777777" w:rsidR="002C5BF7" w:rsidRPr="002C5BF7" w:rsidRDefault="002C5BF7" w:rsidP="002C5BF7">
            <w:r w:rsidRPr="002C5BF7">
              <w:t>The "confirmed fraud" post-book fraud tag used in model development corresponds to financial loss. However, suspect fraud cases not corresponding to financial loss are treated as pre-book fraud tags, leading to potential differences in live use.</w:t>
            </w:r>
          </w:p>
        </w:tc>
        <w:tc>
          <w:tcPr>
            <w:tcW w:w="0" w:type="auto"/>
            <w:vAlign w:val="center"/>
            <w:hideMark/>
          </w:tcPr>
          <w:p w14:paraId="24B4A46A" w14:textId="77777777" w:rsidR="002C5BF7" w:rsidRPr="002C5BF7" w:rsidRDefault="002C5BF7" w:rsidP="002C5BF7">
            <w:r w:rsidRPr="002C5BF7">
              <w:t>Misalignment of fraud tagging between development and live use could impact model predictions and business decisions.</w:t>
            </w:r>
          </w:p>
        </w:tc>
        <w:tc>
          <w:tcPr>
            <w:tcW w:w="0" w:type="auto"/>
            <w:vAlign w:val="center"/>
            <w:hideMark/>
          </w:tcPr>
          <w:p w14:paraId="41144482" w14:textId="77777777" w:rsidR="002C5BF7" w:rsidRPr="002C5BF7" w:rsidRDefault="002C5BF7" w:rsidP="002C5BF7">
            <w:r w:rsidRPr="002C5BF7">
              <w:t>Regular validation of fraud tagging processes to ensure consistency. Bi-annual reviews to assess any deviations.</w:t>
            </w:r>
          </w:p>
        </w:tc>
      </w:tr>
    </w:tbl>
    <w:p w14:paraId="0E0AFD08" w14:textId="77777777" w:rsidR="002C5BF7" w:rsidRPr="002C5BF7" w:rsidRDefault="002C5BF7" w:rsidP="002C5BF7">
      <w:r w:rsidRPr="002C5BF7">
        <w:t>This response outlines the model's limitations, their potential impact on business use, and the monitoring strategies to mitigate related risks effectively.</w:t>
      </w:r>
    </w:p>
    <w:p w14:paraId="55ED9235" w14:textId="21E5B7E0" w:rsidR="002C5BF7" w:rsidRDefault="002C5BF7">
      <w:r>
        <w:t>Table 2</w:t>
      </w:r>
    </w:p>
    <w:p w14:paraId="3357B2B0" w14:textId="77777777" w:rsidR="002C5BF7" w:rsidRPr="002C5BF7" w:rsidRDefault="002C5BF7" w:rsidP="002C5BF7">
      <w:r w:rsidRPr="002C5BF7">
        <w:t xml:space="preserve">Here is the table for the </w:t>
      </w:r>
      <w:r w:rsidRPr="002C5BF7">
        <w:rPr>
          <w:b/>
          <w:bCs/>
        </w:rPr>
        <w:t>Model Limitations</w:t>
      </w:r>
      <w:r w:rsidRPr="002C5BF7">
        <w:t xml:space="preserve"> section in the new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3467"/>
        <w:gridCol w:w="3982"/>
      </w:tblGrid>
      <w:tr w:rsidR="002C5BF7" w:rsidRPr="002C5BF7" w14:paraId="50F98540" w14:textId="77777777" w:rsidTr="002C5BF7">
        <w:trPr>
          <w:tblHeader/>
          <w:tblCellSpacing w:w="15" w:type="dxa"/>
        </w:trPr>
        <w:tc>
          <w:tcPr>
            <w:tcW w:w="0" w:type="auto"/>
            <w:vAlign w:val="center"/>
            <w:hideMark/>
          </w:tcPr>
          <w:p w14:paraId="466EDD68" w14:textId="77777777" w:rsidR="002C5BF7" w:rsidRPr="002C5BF7" w:rsidRDefault="002C5BF7" w:rsidP="002C5BF7">
            <w:pPr>
              <w:rPr>
                <w:b/>
                <w:bCs/>
              </w:rPr>
            </w:pPr>
            <w:r w:rsidRPr="002C5BF7">
              <w:rPr>
                <w:b/>
                <w:bCs/>
              </w:rPr>
              <w:t>Model Weakness or Limitation</w:t>
            </w:r>
          </w:p>
        </w:tc>
        <w:tc>
          <w:tcPr>
            <w:tcW w:w="0" w:type="auto"/>
            <w:vAlign w:val="center"/>
            <w:hideMark/>
          </w:tcPr>
          <w:p w14:paraId="2630C5F6" w14:textId="77777777" w:rsidR="002C5BF7" w:rsidRPr="002C5BF7" w:rsidRDefault="002C5BF7" w:rsidP="002C5BF7">
            <w:pPr>
              <w:rPr>
                <w:b/>
                <w:bCs/>
              </w:rPr>
            </w:pPr>
            <w:r w:rsidRPr="002C5BF7">
              <w:rPr>
                <w:b/>
                <w:bCs/>
              </w:rPr>
              <w:t>Associated Model Risk(s)</w:t>
            </w:r>
          </w:p>
        </w:tc>
        <w:tc>
          <w:tcPr>
            <w:tcW w:w="0" w:type="auto"/>
            <w:vAlign w:val="center"/>
            <w:hideMark/>
          </w:tcPr>
          <w:p w14:paraId="3827266A" w14:textId="77777777" w:rsidR="002C5BF7" w:rsidRPr="002C5BF7" w:rsidRDefault="002C5BF7" w:rsidP="002C5BF7">
            <w:pPr>
              <w:rPr>
                <w:b/>
                <w:bCs/>
              </w:rPr>
            </w:pPr>
            <w:r w:rsidRPr="002C5BF7">
              <w:rPr>
                <w:b/>
                <w:bCs/>
              </w:rPr>
              <w:t>Model Risk Mitigants/Remediation</w:t>
            </w:r>
          </w:p>
        </w:tc>
      </w:tr>
      <w:tr w:rsidR="002C5BF7" w:rsidRPr="002C5BF7" w14:paraId="2F9EDB45" w14:textId="77777777" w:rsidTr="002C5BF7">
        <w:trPr>
          <w:tblCellSpacing w:w="15" w:type="dxa"/>
        </w:trPr>
        <w:tc>
          <w:tcPr>
            <w:tcW w:w="0" w:type="auto"/>
            <w:vAlign w:val="center"/>
            <w:hideMark/>
          </w:tcPr>
          <w:p w14:paraId="0F79D2CD" w14:textId="77777777" w:rsidR="002C5BF7" w:rsidRPr="002C5BF7" w:rsidRDefault="002C5BF7" w:rsidP="002C5BF7">
            <w:r w:rsidRPr="002C5BF7">
              <w:rPr>
                <w:b/>
                <w:bCs/>
              </w:rPr>
              <w:t>Dependence on External Factors</w:t>
            </w:r>
          </w:p>
        </w:tc>
        <w:tc>
          <w:tcPr>
            <w:tcW w:w="0" w:type="auto"/>
            <w:vAlign w:val="center"/>
            <w:hideMark/>
          </w:tcPr>
          <w:p w14:paraId="4F98C130" w14:textId="77777777" w:rsidR="002C5BF7" w:rsidRPr="002C5BF7" w:rsidRDefault="002C5BF7" w:rsidP="002C5BF7">
            <w:r w:rsidRPr="002C5BF7">
              <w:t>Changes in macroeconomic conditions, customer business policies, decision-making processes, and portfolio management could negatively impact model performance.</w:t>
            </w:r>
          </w:p>
        </w:tc>
        <w:tc>
          <w:tcPr>
            <w:tcW w:w="0" w:type="auto"/>
            <w:vAlign w:val="center"/>
            <w:hideMark/>
          </w:tcPr>
          <w:p w14:paraId="3238298D" w14:textId="77777777" w:rsidR="002C5BF7" w:rsidRPr="002C5BF7" w:rsidRDefault="002C5BF7" w:rsidP="002C5BF7">
            <w:r w:rsidRPr="002C5BF7">
              <w:t>Regular monitoring of external factors affecting the live environment. Annual reviews of macroeconomic and business policy changes.</w:t>
            </w:r>
          </w:p>
        </w:tc>
      </w:tr>
      <w:tr w:rsidR="002C5BF7" w:rsidRPr="002C5BF7" w14:paraId="4EFCB417" w14:textId="77777777" w:rsidTr="002C5BF7">
        <w:trPr>
          <w:tblCellSpacing w:w="15" w:type="dxa"/>
        </w:trPr>
        <w:tc>
          <w:tcPr>
            <w:tcW w:w="0" w:type="auto"/>
            <w:vAlign w:val="center"/>
            <w:hideMark/>
          </w:tcPr>
          <w:p w14:paraId="7C4E9FC2" w14:textId="77777777" w:rsidR="002C5BF7" w:rsidRPr="002C5BF7" w:rsidRDefault="002C5BF7" w:rsidP="002C5BF7">
            <w:r w:rsidRPr="002C5BF7">
              <w:rPr>
                <w:b/>
                <w:bCs/>
              </w:rPr>
              <w:t>Target Population Misalignment</w:t>
            </w:r>
          </w:p>
        </w:tc>
        <w:tc>
          <w:tcPr>
            <w:tcW w:w="0" w:type="auto"/>
            <w:vAlign w:val="center"/>
            <w:hideMark/>
          </w:tcPr>
          <w:p w14:paraId="6F53D06E" w14:textId="77777777" w:rsidR="002C5BF7" w:rsidRPr="002C5BF7" w:rsidRDefault="002C5BF7" w:rsidP="002C5BF7">
            <w:r w:rsidRPr="002C5BF7">
              <w:t>Differences between the live population and the development population could result in decreased predictive accuracy and incorrect risk assessments.</w:t>
            </w:r>
          </w:p>
        </w:tc>
        <w:tc>
          <w:tcPr>
            <w:tcW w:w="0" w:type="auto"/>
            <w:vAlign w:val="center"/>
            <w:hideMark/>
          </w:tcPr>
          <w:p w14:paraId="7D700F02" w14:textId="77777777" w:rsidR="002C5BF7" w:rsidRPr="002C5BF7" w:rsidRDefault="002C5BF7" w:rsidP="002C5BF7">
            <w:r w:rsidRPr="002C5BF7">
              <w:t>Periodic analysis of the live population to ensure alignment with the development population. Quarterly reviews and adjustments as needed.</w:t>
            </w:r>
          </w:p>
        </w:tc>
      </w:tr>
      <w:tr w:rsidR="002C5BF7" w:rsidRPr="002C5BF7" w14:paraId="7EAD25E7" w14:textId="77777777" w:rsidTr="002C5BF7">
        <w:trPr>
          <w:tblCellSpacing w:w="15" w:type="dxa"/>
        </w:trPr>
        <w:tc>
          <w:tcPr>
            <w:tcW w:w="0" w:type="auto"/>
            <w:vAlign w:val="center"/>
            <w:hideMark/>
          </w:tcPr>
          <w:p w14:paraId="4F95B3A4" w14:textId="77777777" w:rsidR="002C5BF7" w:rsidRPr="002C5BF7" w:rsidRDefault="002C5BF7" w:rsidP="002C5BF7">
            <w:r w:rsidRPr="002C5BF7">
              <w:rPr>
                <w:b/>
                <w:bCs/>
              </w:rPr>
              <w:t>Fraud Tagging Differences</w:t>
            </w:r>
          </w:p>
        </w:tc>
        <w:tc>
          <w:tcPr>
            <w:tcW w:w="0" w:type="auto"/>
            <w:vAlign w:val="center"/>
            <w:hideMark/>
          </w:tcPr>
          <w:p w14:paraId="3D1979E3" w14:textId="77777777" w:rsidR="002C5BF7" w:rsidRPr="002C5BF7" w:rsidRDefault="002C5BF7" w:rsidP="002C5BF7">
            <w:r w:rsidRPr="002C5BF7">
              <w:t>Inconsistencies in fraud tagging (e.g., confirmed fraud vs. suspect fraud) could lead to inaccuracies in model predictions and business decisions.</w:t>
            </w:r>
          </w:p>
        </w:tc>
        <w:tc>
          <w:tcPr>
            <w:tcW w:w="0" w:type="auto"/>
            <w:vAlign w:val="center"/>
            <w:hideMark/>
          </w:tcPr>
          <w:p w14:paraId="1565D51B" w14:textId="77777777" w:rsidR="002C5BF7" w:rsidRPr="002C5BF7" w:rsidRDefault="002C5BF7" w:rsidP="002C5BF7">
            <w:r w:rsidRPr="002C5BF7">
              <w:t>Routine validation of fraud tagging processes to ensure alignment with model development assumptions. Bi-annual audits of tagging practices.</w:t>
            </w:r>
          </w:p>
        </w:tc>
      </w:tr>
      <w:tr w:rsidR="002C5BF7" w:rsidRPr="002C5BF7" w14:paraId="18AE8BDD" w14:textId="77777777" w:rsidTr="002C5BF7">
        <w:trPr>
          <w:tblCellSpacing w:w="15" w:type="dxa"/>
        </w:trPr>
        <w:tc>
          <w:tcPr>
            <w:tcW w:w="0" w:type="auto"/>
            <w:vAlign w:val="center"/>
            <w:hideMark/>
          </w:tcPr>
          <w:p w14:paraId="5393F87E" w14:textId="77777777" w:rsidR="002C5BF7" w:rsidRPr="002C5BF7" w:rsidRDefault="002C5BF7" w:rsidP="002C5BF7">
            <w:r w:rsidRPr="002C5BF7">
              <w:rPr>
                <w:b/>
                <w:bCs/>
              </w:rPr>
              <w:t>Data Instability Risk</w:t>
            </w:r>
          </w:p>
        </w:tc>
        <w:tc>
          <w:tcPr>
            <w:tcW w:w="0" w:type="auto"/>
            <w:vAlign w:val="center"/>
            <w:hideMark/>
          </w:tcPr>
          <w:p w14:paraId="6EB0D110" w14:textId="77777777" w:rsidR="002C5BF7" w:rsidRPr="002C5BF7" w:rsidRDefault="002C5BF7" w:rsidP="002C5BF7">
            <w:r w:rsidRPr="002C5BF7">
              <w:t xml:space="preserve">Model performance may degrade if there are significant shifts in consumer </w:t>
            </w:r>
            <w:proofErr w:type="spellStart"/>
            <w:r w:rsidRPr="002C5BF7">
              <w:t>behavior</w:t>
            </w:r>
            <w:proofErr w:type="spellEnd"/>
            <w:r w:rsidRPr="002C5BF7">
              <w:t xml:space="preserve"> or reporting practices over time, impacting input data stability.</w:t>
            </w:r>
          </w:p>
        </w:tc>
        <w:tc>
          <w:tcPr>
            <w:tcW w:w="0" w:type="auto"/>
            <w:vAlign w:val="center"/>
            <w:hideMark/>
          </w:tcPr>
          <w:p w14:paraId="1051441B" w14:textId="77777777" w:rsidR="002C5BF7" w:rsidRPr="002C5BF7" w:rsidRDefault="002C5BF7" w:rsidP="002C5BF7">
            <w:r w:rsidRPr="002C5BF7">
              <w:t xml:space="preserve">Regular score monitoring to identify and address shifts in </w:t>
            </w:r>
            <w:proofErr w:type="spellStart"/>
            <w:r w:rsidRPr="002C5BF7">
              <w:t>behavior</w:t>
            </w:r>
            <w:proofErr w:type="spellEnd"/>
            <w:r w:rsidRPr="002C5BF7">
              <w:t xml:space="preserve"> or data quality. Monthly stability tracking and annual recalibration if necessary.</w:t>
            </w:r>
          </w:p>
        </w:tc>
      </w:tr>
      <w:tr w:rsidR="002C5BF7" w:rsidRPr="002C5BF7" w14:paraId="5AD99D32" w14:textId="77777777" w:rsidTr="002C5BF7">
        <w:trPr>
          <w:tblCellSpacing w:w="15" w:type="dxa"/>
        </w:trPr>
        <w:tc>
          <w:tcPr>
            <w:tcW w:w="0" w:type="auto"/>
            <w:vAlign w:val="center"/>
            <w:hideMark/>
          </w:tcPr>
          <w:p w14:paraId="7B385EC5" w14:textId="77777777" w:rsidR="002C5BF7" w:rsidRPr="002C5BF7" w:rsidRDefault="002C5BF7" w:rsidP="002C5BF7">
            <w:r w:rsidRPr="002C5BF7">
              <w:rPr>
                <w:b/>
                <w:bCs/>
              </w:rPr>
              <w:lastRenderedPageBreak/>
              <w:t>Static Model Design</w:t>
            </w:r>
          </w:p>
        </w:tc>
        <w:tc>
          <w:tcPr>
            <w:tcW w:w="0" w:type="auto"/>
            <w:vAlign w:val="center"/>
            <w:hideMark/>
          </w:tcPr>
          <w:p w14:paraId="3C98A254" w14:textId="77777777" w:rsidR="002C5BF7" w:rsidRPr="002C5BF7" w:rsidRDefault="002C5BF7" w:rsidP="002C5BF7">
            <w:r w:rsidRPr="002C5BF7">
              <w:t>Model performance is not adjusted for changes over time due to a lack of recalibration, realignment, or rescaling of score distributions.</w:t>
            </w:r>
          </w:p>
        </w:tc>
        <w:tc>
          <w:tcPr>
            <w:tcW w:w="0" w:type="auto"/>
            <w:vAlign w:val="center"/>
            <w:hideMark/>
          </w:tcPr>
          <w:p w14:paraId="4698469C" w14:textId="77777777" w:rsidR="002C5BF7" w:rsidRPr="002C5BF7" w:rsidRDefault="002C5BF7" w:rsidP="002C5BF7">
            <w:r w:rsidRPr="002C5BF7">
              <w:t>Scheduled periodic assessments to evaluate model adequacy in changing environments. Implement recalibration processes as part of ongoing risk management.</w:t>
            </w:r>
          </w:p>
        </w:tc>
      </w:tr>
    </w:tbl>
    <w:p w14:paraId="69706ECA" w14:textId="77777777" w:rsidR="002C5BF7" w:rsidRPr="002C5BF7" w:rsidRDefault="002C5BF7" w:rsidP="002C5BF7">
      <w:r w:rsidRPr="002C5BF7">
        <w:t>This table captures model weaknesses, their associated risks, and measures to mitigate or remediate those risks effectively.</w:t>
      </w:r>
    </w:p>
    <w:p w14:paraId="1CDE6292" w14:textId="77777777" w:rsidR="002C5BF7" w:rsidRDefault="002C5BF7"/>
    <w:sectPr w:rsidR="002C5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02"/>
    <w:rsid w:val="001A3B63"/>
    <w:rsid w:val="001F5002"/>
    <w:rsid w:val="002C5BF7"/>
    <w:rsid w:val="003858C0"/>
    <w:rsid w:val="006C7174"/>
    <w:rsid w:val="008D7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295"/>
  <w15:chartTrackingRefBased/>
  <w15:docId w15:val="{5AA521B5-DDDC-4F0C-97D3-0E901BD5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67359">
      <w:bodyDiv w:val="1"/>
      <w:marLeft w:val="0"/>
      <w:marRight w:val="0"/>
      <w:marTop w:val="0"/>
      <w:marBottom w:val="0"/>
      <w:divBdr>
        <w:top w:val="none" w:sz="0" w:space="0" w:color="auto"/>
        <w:left w:val="none" w:sz="0" w:space="0" w:color="auto"/>
        <w:bottom w:val="none" w:sz="0" w:space="0" w:color="auto"/>
        <w:right w:val="none" w:sz="0" w:space="0" w:color="auto"/>
      </w:divBdr>
    </w:div>
    <w:div w:id="297541593">
      <w:bodyDiv w:val="1"/>
      <w:marLeft w:val="0"/>
      <w:marRight w:val="0"/>
      <w:marTop w:val="0"/>
      <w:marBottom w:val="0"/>
      <w:divBdr>
        <w:top w:val="none" w:sz="0" w:space="0" w:color="auto"/>
        <w:left w:val="none" w:sz="0" w:space="0" w:color="auto"/>
        <w:bottom w:val="none" w:sz="0" w:space="0" w:color="auto"/>
        <w:right w:val="none" w:sz="0" w:space="0" w:color="auto"/>
      </w:divBdr>
    </w:div>
    <w:div w:id="420293784">
      <w:bodyDiv w:val="1"/>
      <w:marLeft w:val="0"/>
      <w:marRight w:val="0"/>
      <w:marTop w:val="0"/>
      <w:marBottom w:val="0"/>
      <w:divBdr>
        <w:top w:val="none" w:sz="0" w:space="0" w:color="auto"/>
        <w:left w:val="none" w:sz="0" w:space="0" w:color="auto"/>
        <w:bottom w:val="none" w:sz="0" w:space="0" w:color="auto"/>
        <w:right w:val="none" w:sz="0" w:space="0" w:color="auto"/>
      </w:divBdr>
    </w:div>
    <w:div w:id="445661620">
      <w:bodyDiv w:val="1"/>
      <w:marLeft w:val="0"/>
      <w:marRight w:val="0"/>
      <w:marTop w:val="0"/>
      <w:marBottom w:val="0"/>
      <w:divBdr>
        <w:top w:val="none" w:sz="0" w:space="0" w:color="auto"/>
        <w:left w:val="none" w:sz="0" w:space="0" w:color="auto"/>
        <w:bottom w:val="none" w:sz="0" w:space="0" w:color="auto"/>
        <w:right w:val="none" w:sz="0" w:space="0" w:color="auto"/>
      </w:divBdr>
      <w:divsChild>
        <w:div w:id="1309747557">
          <w:marLeft w:val="0"/>
          <w:marRight w:val="0"/>
          <w:marTop w:val="0"/>
          <w:marBottom w:val="0"/>
          <w:divBdr>
            <w:top w:val="none" w:sz="0" w:space="0" w:color="auto"/>
            <w:left w:val="none" w:sz="0" w:space="0" w:color="auto"/>
            <w:bottom w:val="none" w:sz="0" w:space="0" w:color="auto"/>
            <w:right w:val="none" w:sz="0" w:space="0" w:color="auto"/>
          </w:divBdr>
          <w:divsChild>
            <w:div w:id="1334410034">
              <w:marLeft w:val="0"/>
              <w:marRight w:val="0"/>
              <w:marTop w:val="0"/>
              <w:marBottom w:val="0"/>
              <w:divBdr>
                <w:top w:val="none" w:sz="0" w:space="0" w:color="auto"/>
                <w:left w:val="none" w:sz="0" w:space="0" w:color="auto"/>
                <w:bottom w:val="none" w:sz="0" w:space="0" w:color="auto"/>
                <w:right w:val="none" w:sz="0" w:space="0" w:color="auto"/>
              </w:divBdr>
              <w:divsChild>
                <w:div w:id="1238519966">
                  <w:marLeft w:val="0"/>
                  <w:marRight w:val="0"/>
                  <w:marTop w:val="0"/>
                  <w:marBottom w:val="0"/>
                  <w:divBdr>
                    <w:top w:val="none" w:sz="0" w:space="0" w:color="auto"/>
                    <w:left w:val="none" w:sz="0" w:space="0" w:color="auto"/>
                    <w:bottom w:val="none" w:sz="0" w:space="0" w:color="auto"/>
                    <w:right w:val="none" w:sz="0" w:space="0" w:color="auto"/>
                  </w:divBdr>
                  <w:divsChild>
                    <w:div w:id="18850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5232">
          <w:marLeft w:val="0"/>
          <w:marRight w:val="0"/>
          <w:marTop w:val="0"/>
          <w:marBottom w:val="0"/>
          <w:divBdr>
            <w:top w:val="none" w:sz="0" w:space="0" w:color="auto"/>
            <w:left w:val="none" w:sz="0" w:space="0" w:color="auto"/>
            <w:bottom w:val="none" w:sz="0" w:space="0" w:color="auto"/>
            <w:right w:val="none" w:sz="0" w:space="0" w:color="auto"/>
          </w:divBdr>
          <w:divsChild>
            <w:div w:id="2094038810">
              <w:marLeft w:val="0"/>
              <w:marRight w:val="0"/>
              <w:marTop w:val="0"/>
              <w:marBottom w:val="0"/>
              <w:divBdr>
                <w:top w:val="none" w:sz="0" w:space="0" w:color="auto"/>
                <w:left w:val="none" w:sz="0" w:space="0" w:color="auto"/>
                <w:bottom w:val="none" w:sz="0" w:space="0" w:color="auto"/>
                <w:right w:val="none" w:sz="0" w:space="0" w:color="auto"/>
              </w:divBdr>
              <w:divsChild>
                <w:div w:id="790705045">
                  <w:marLeft w:val="0"/>
                  <w:marRight w:val="0"/>
                  <w:marTop w:val="0"/>
                  <w:marBottom w:val="0"/>
                  <w:divBdr>
                    <w:top w:val="none" w:sz="0" w:space="0" w:color="auto"/>
                    <w:left w:val="none" w:sz="0" w:space="0" w:color="auto"/>
                    <w:bottom w:val="none" w:sz="0" w:space="0" w:color="auto"/>
                    <w:right w:val="none" w:sz="0" w:space="0" w:color="auto"/>
                  </w:divBdr>
                  <w:divsChild>
                    <w:div w:id="154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18261">
      <w:bodyDiv w:val="1"/>
      <w:marLeft w:val="0"/>
      <w:marRight w:val="0"/>
      <w:marTop w:val="0"/>
      <w:marBottom w:val="0"/>
      <w:divBdr>
        <w:top w:val="none" w:sz="0" w:space="0" w:color="auto"/>
        <w:left w:val="none" w:sz="0" w:space="0" w:color="auto"/>
        <w:bottom w:val="none" w:sz="0" w:space="0" w:color="auto"/>
        <w:right w:val="none" w:sz="0" w:space="0" w:color="auto"/>
      </w:divBdr>
    </w:div>
    <w:div w:id="1725592350">
      <w:bodyDiv w:val="1"/>
      <w:marLeft w:val="0"/>
      <w:marRight w:val="0"/>
      <w:marTop w:val="0"/>
      <w:marBottom w:val="0"/>
      <w:divBdr>
        <w:top w:val="none" w:sz="0" w:space="0" w:color="auto"/>
        <w:left w:val="none" w:sz="0" w:space="0" w:color="auto"/>
        <w:bottom w:val="none" w:sz="0" w:space="0" w:color="auto"/>
        <w:right w:val="none" w:sz="0" w:space="0" w:color="auto"/>
      </w:divBdr>
    </w:div>
    <w:div w:id="1755780697">
      <w:bodyDiv w:val="1"/>
      <w:marLeft w:val="0"/>
      <w:marRight w:val="0"/>
      <w:marTop w:val="0"/>
      <w:marBottom w:val="0"/>
      <w:divBdr>
        <w:top w:val="none" w:sz="0" w:space="0" w:color="auto"/>
        <w:left w:val="none" w:sz="0" w:space="0" w:color="auto"/>
        <w:bottom w:val="none" w:sz="0" w:space="0" w:color="auto"/>
        <w:right w:val="none" w:sz="0" w:space="0" w:color="auto"/>
      </w:divBdr>
    </w:div>
    <w:div w:id="1769303614">
      <w:bodyDiv w:val="1"/>
      <w:marLeft w:val="0"/>
      <w:marRight w:val="0"/>
      <w:marTop w:val="0"/>
      <w:marBottom w:val="0"/>
      <w:divBdr>
        <w:top w:val="none" w:sz="0" w:space="0" w:color="auto"/>
        <w:left w:val="none" w:sz="0" w:space="0" w:color="auto"/>
        <w:bottom w:val="none" w:sz="0" w:space="0" w:color="auto"/>
        <w:right w:val="none" w:sz="0" w:space="0" w:color="auto"/>
      </w:divBdr>
    </w:div>
    <w:div w:id="1818377439">
      <w:bodyDiv w:val="1"/>
      <w:marLeft w:val="0"/>
      <w:marRight w:val="0"/>
      <w:marTop w:val="0"/>
      <w:marBottom w:val="0"/>
      <w:divBdr>
        <w:top w:val="none" w:sz="0" w:space="0" w:color="auto"/>
        <w:left w:val="none" w:sz="0" w:space="0" w:color="auto"/>
        <w:bottom w:val="none" w:sz="0" w:space="0" w:color="auto"/>
        <w:right w:val="none" w:sz="0" w:space="0" w:color="auto"/>
      </w:divBdr>
    </w:div>
    <w:div w:id="1829593471">
      <w:bodyDiv w:val="1"/>
      <w:marLeft w:val="0"/>
      <w:marRight w:val="0"/>
      <w:marTop w:val="0"/>
      <w:marBottom w:val="0"/>
      <w:divBdr>
        <w:top w:val="none" w:sz="0" w:space="0" w:color="auto"/>
        <w:left w:val="none" w:sz="0" w:space="0" w:color="auto"/>
        <w:bottom w:val="none" w:sz="0" w:space="0" w:color="auto"/>
        <w:right w:val="none" w:sz="0" w:space="0" w:color="auto"/>
      </w:divBdr>
      <w:divsChild>
        <w:div w:id="959990274">
          <w:marLeft w:val="0"/>
          <w:marRight w:val="0"/>
          <w:marTop w:val="0"/>
          <w:marBottom w:val="0"/>
          <w:divBdr>
            <w:top w:val="none" w:sz="0" w:space="0" w:color="auto"/>
            <w:left w:val="none" w:sz="0" w:space="0" w:color="auto"/>
            <w:bottom w:val="none" w:sz="0" w:space="0" w:color="auto"/>
            <w:right w:val="none" w:sz="0" w:space="0" w:color="auto"/>
          </w:divBdr>
          <w:divsChild>
            <w:div w:id="1722443728">
              <w:marLeft w:val="0"/>
              <w:marRight w:val="0"/>
              <w:marTop w:val="0"/>
              <w:marBottom w:val="0"/>
              <w:divBdr>
                <w:top w:val="none" w:sz="0" w:space="0" w:color="auto"/>
                <w:left w:val="none" w:sz="0" w:space="0" w:color="auto"/>
                <w:bottom w:val="none" w:sz="0" w:space="0" w:color="auto"/>
                <w:right w:val="none" w:sz="0" w:space="0" w:color="auto"/>
              </w:divBdr>
              <w:divsChild>
                <w:div w:id="1496074444">
                  <w:marLeft w:val="0"/>
                  <w:marRight w:val="0"/>
                  <w:marTop w:val="0"/>
                  <w:marBottom w:val="0"/>
                  <w:divBdr>
                    <w:top w:val="none" w:sz="0" w:space="0" w:color="auto"/>
                    <w:left w:val="none" w:sz="0" w:space="0" w:color="auto"/>
                    <w:bottom w:val="none" w:sz="0" w:space="0" w:color="auto"/>
                    <w:right w:val="none" w:sz="0" w:space="0" w:color="auto"/>
                  </w:divBdr>
                  <w:divsChild>
                    <w:div w:id="16514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8795">
          <w:marLeft w:val="0"/>
          <w:marRight w:val="0"/>
          <w:marTop w:val="0"/>
          <w:marBottom w:val="0"/>
          <w:divBdr>
            <w:top w:val="none" w:sz="0" w:space="0" w:color="auto"/>
            <w:left w:val="none" w:sz="0" w:space="0" w:color="auto"/>
            <w:bottom w:val="none" w:sz="0" w:space="0" w:color="auto"/>
            <w:right w:val="none" w:sz="0" w:space="0" w:color="auto"/>
          </w:divBdr>
          <w:divsChild>
            <w:div w:id="896165146">
              <w:marLeft w:val="0"/>
              <w:marRight w:val="0"/>
              <w:marTop w:val="0"/>
              <w:marBottom w:val="0"/>
              <w:divBdr>
                <w:top w:val="none" w:sz="0" w:space="0" w:color="auto"/>
                <w:left w:val="none" w:sz="0" w:space="0" w:color="auto"/>
                <w:bottom w:val="none" w:sz="0" w:space="0" w:color="auto"/>
                <w:right w:val="none" w:sz="0" w:space="0" w:color="auto"/>
              </w:divBdr>
              <w:divsChild>
                <w:div w:id="317809829">
                  <w:marLeft w:val="0"/>
                  <w:marRight w:val="0"/>
                  <w:marTop w:val="0"/>
                  <w:marBottom w:val="0"/>
                  <w:divBdr>
                    <w:top w:val="none" w:sz="0" w:space="0" w:color="auto"/>
                    <w:left w:val="none" w:sz="0" w:space="0" w:color="auto"/>
                    <w:bottom w:val="none" w:sz="0" w:space="0" w:color="auto"/>
                    <w:right w:val="none" w:sz="0" w:space="0" w:color="auto"/>
                  </w:divBdr>
                  <w:divsChild>
                    <w:div w:id="10785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28601">
      <w:bodyDiv w:val="1"/>
      <w:marLeft w:val="0"/>
      <w:marRight w:val="0"/>
      <w:marTop w:val="0"/>
      <w:marBottom w:val="0"/>
      <w:divBdr>
        <w:top w:val="none" w:sz="0" w:space="0" w:color="auto"/>
        <w:left w:val="none" w:sz="0" w:space="0" w:color="auto"/>
        <w:bottom w:val="none" w:sz="0" w:space="0" w:color="auto"/>
        <w:right w:val="none" w:sz="0" w:space="0" w:color="auto"/>
      </w:divBdr>
    </w:div>
    <w:div w:id="212403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Kumar Gupta</dc:creator>
  <cp:keywords/>
  <dc:description/>
  <cp:lastModifiedBy>Uttam Kumar Gupta</cp:lastModifiedBy>
  <cp:revision>1</cp:revision>
  <dcterms:created xsi:type="dcterms:W3CDTF">2024-11-27T09:46:00Z</dcterms:created>
  <dcterms:modified xsi:type="dcterms:W3CDTF">2024-11-27T10:23:00Z</dcterms:modified>
</cp:coreProperties>
</file>