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1B2A4A"/>
          <w:sz w:val="52"/>
          <w:szCs w:val="52"/>
        </w:rPr>
        <w:t xml:space="preserve">KYC/KYB ENTITY</w:t>
      </w:r>
    </w:p>
    <w:p>
      <w:pPr>
        <w:spacing w:after="60"/>
      </w:pPr>
      <w:r>
        <w:rPr>
          <w:rFonts w:ascii="Arial" w:cs="Arial" w:eastAsia="Arial" w:hAnsi="Arial"/>
          <w:b/>
          <w:bCs/>
          <w:color w:val="0F7C6E"/>
          <w:sz w:val="52"/>
          <w:szCs w:val="52"/>
        </w:rPr>
        <w:t xml:space="preserve">RISK SCORING ENGINE</w:t>
      </w:r>
    </w:p>
    <w:p>
      <w:pPr>
        <w:spacing w:after="200"/>
      </w:pPr>
      <w:r>
        <w:rPr>
          <w:rFonts w:ascii="Arial" w:cs="Arial" w:eastAsia="Arial" w:hAnsi="Arial"/>
          <w:b/>
          <w:bCs/>
          <w:color w:val="1B2A4A"/>
          <w:sz w:val="22"/>
          <w:szCs w:val="22"/>
        </w:rPr>
        <w:t xml:space="preserve">Kishore U.  </w:t>
      </w:r>
      <w:r>
        <w:rPr>
          <w:rFonts w:ascii="Arial" w:cs="Arial" w:eastAsia="Arial" w:hAnsi="Arial"/>
          <w:color w:val="555555"/>
          <w:sz w:val="20"/>
          <w:szCs w:val="20"/>
        </w:rPr>
        <w:t xml:space="preserve">KYC/KYB Compliance + Data Analytics  |  </w:t>
      </w:r>
      <w:r>
        <w:rPr>
          <w:rFonts w:ascii="Arial" w:cs="Arial" w:eastAsia="Arial" w:hAnsi="Arial"/>
          <w:color w:val="0F7C6E"/>
          <w:sz w:val="20"/>
          <w:szCs w:val="20"/>
        </w:rPr>
        <w:t xml:space="preserve">Python · scikit-learn · Gradient Boosting · Chart.js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1B2A4A" w:val="clear"/>
            <w:tcMar>
              <w:top w:type="dxa" w:w="120"/>
              <w:left w:type="dxa" w:w="100"/>
              <w:bottom w:type="dxa" w:w="120"/>
              <w:right w:type="dxa" w:w="100"/>
            </w:tcMar>
          </w:tcPr>
          <w:p>
            <w:pPr>
              <w:spacing w:after="20"/>
              <w:jc w:val="center"/>
            </w:pPr>
            <w:r>
              <w:rPr>
                <w:rFonts w:ascii="Arial" w:cs="Arial" w:eastAsia="Arial" w:hAnsi="Arial"/>
                <w:b/>
                <w:bCs/>
                <w:color w:val="40D9C8"/>
                <w:sz w:val="30"/>
                <w:szCs w:val="30"/>
              </w:rPr>
              <w:t xml:space="preserve">1,000</w:t>
            </w:r>
          </w:p>
          <w:p>
            <w:pPr>
              <w:jc w:val="center"/>
            </w:pPr>
            <w:r>
              <w:rPr>
                <w:rFonts w:ascii="Arial" w:cs="Arial" w:eastAsia="Arial" w:hAnsi="Arial"/>
                <w:color w:val="AABBCC"/>
                <w:sz w:val="15"/>
                <w:szCs w:val="15"/>
              </w:rPr>
              <w:t xml:space="preserve">Total Entities</w:t>
            </w:r>
          </w:p>
        </w:tc>
        <w:tc>
          <w:tcPr>
            <w:tcW w:type="dxa" w:w="1560"/>
            <w:tcBorders>
              <w:top w:val="none" w:color="FFFFFF" w:sz="0"/>
              <w:left w:val="none" w:color="FFFFFF" w:sz="0"/>
              <w:bottom w:val="none" w:color="FFFFFF" w:sz="0"/>
              <w:right w:val="none" w:color="FFFFFF" w:sz="0"/>
            </w:tcBorders>
            <w:shd w:fill="1B2A4A" w:val="clear"/>
            <w:tcMar>
              <w:top w:type="dxa" w:w="120"/>
              <w:left w:type="dxa" w:w="100"/>
              <w:bottom w:type="dxa" w:w="120"/>
              <w:right w:type="dxa" w:w="100"/>
            </w:tcMar>
          </w:tcPr>
          <w:p>
            <w:pPr>
              <w:spacing w:after="20"/>
              <w:jc w:val="center"/>
            </w:pPr>
            <w:r>
              <w:rPr>
                <w:rFonts w:ascii="Arial" w:cs="Arial" w:eastAsia="Arial" w:hAnsi="Arial"/>
                <w:b/>
                <w:bCs/>
                <w:color w:val="40D9C8"/>
                <w:sz w:val="30"/>
                <w:szCs w:val="30"/>
              </w:rPr>
              <w:t xml:space="preserve">205</w:t>
            </w:r>
          </w:p>
          <w:p>
            <w:pPr>
              <w:jc w:val="center"/>
            </w:pPr>
            <w:r>
              <w:rPr>
                <w:rFonts w:ascii="Arial" w:cs="Arial" w:eastAsia="Arial" w:hAnsi="Arial"/>
                <w:color w:val="AABBCC"/>
                <w:sz w:val="15"/>
                <w:szCs w:val="15"/>
              </w:rPr>
              <w:t xml:space="preserve">High-Risk Alerts</w:t>
            </w:r>
          </w:p>
        </w:tc>
        <w:tc>
          <w:tcPr>
            <w:tcW w:type="dxa" w:w="1560"/>
            <w:tcBorders>
              <w:top w:val="none" w:color="FFFFFF" w:sz="0"/>
              <w:left w:val="none" w:color="FFFFFF" w:sz="0"/>
              <w:bottom w:val="none" w:color="FFFFFF" w:sz="0"/>
              <w:right w:val="none" w:color="FFFFFF" w:sz="0"/>
            </w:tcBorders>
            <w:shd w:fill="1B2A4A" w:val="clear"/>
            <w:tcMar>
              <w:top w:type="dxa" w:w="120"/>
              <w:left w:type="dxa" w:w="100"/>
              <w:bottom w:type="dxa" w:w="120"/>
              <w:right w:type="dxa" w:w="100"/>
            </w:tcMar>
          </w:tcPr>
          <w:p>
            <w:pPr>
              <w:spacing w:after="20"/>
              <w:jc w:val="center"/>
            </w:pPr>
            <w:r>
              <w:rPr>
                <w:rFonts w:ascii="Arial" w:cs="Arial" w:eastAsia="Arial" w:hAnsi="Arial"/>
                <w:b/>
                <w:bCs/>
                <w:color w:val="40D9C8"/>
                <w:sz w:val="30"/>
                <w:szCs w:val="30"/>
              </w:rPr>
              <w:t xml:space="preserve">20.5%</w:t>
            </w:r>
          </w:p>
          <w:p>
            <w:pPr>
              <w:jc w:val="center"/>
            </w:pPr>
            <w:r>
              <w:rPr>
                <w:rFonts w:ascii="Arial" w:cs="Arial" w:eastAsia="Arial" w:hAnsi="Arial"/>
                <w:color w:val="AABBCC"/>
                <w:sz w:val="15"/>
                <w:szCs w:val="15"/>
              </w:rPr>
              <w:t xml:space="preserve">Alert Rate</w:t>
            </w:r>
          </w:p>
        </w:tc>
        <w:tc>
          <w:tcPr>
            <w:tcW w:type="dxa" w:w="1560"/>
            <w:tcBorders>
              <w:top w:val="none" w:color="FFFFFF" w:sz="0"/>
              <w:left w:val="none" w:color="FFFFFF" w:sz="0"/>
              <w:bottom w:val="none" w:color="FFFFFF" w:sz="0"/>
              <w:right w:val="none" w:color="FFFFFF" w:sz="0"/>
            </w:tcBorders>
            <w:shd w:fill="1B2A4A" w:val="clear"/>
            <w:tcMar>
              <w:top w:type="dxa" w:w="120"/>
              <w:left w:type="dxa" w:w="100"/>
              <w:bottom w:type="dxa" w:w="120"/>
              <w:right w:type="dxa" w:w="100"/>
            </w:tcMar>
          </w:tcPr>
          <w:p>
            <w:pPr>
              <w:spacing w:after="20"/>
              <w:jc w:val="center"/>
            </w:pPr>
            <w:r>
              <w:rPr>
                <w:rFonts w:ascii="Arial" w:cs="Arial" w:eastAsia="Arial" w:hAnsi="Arial"/>
                <w:b/>
                <w:bCs/>
                <w:color w:val="40D9C8"/>
                <w:sz w:val="30"/>
                <w:szCs w:val="30"/>
              </w:rPr>
              <w:t xml:space="preserve">1.00</w:t>
            </w:r>
          </w:p>
          <w:p>
            <w:pPr>
              <w:jc w:val="center"/>
            </w:pPr>
            <w:r>
              <w:rPr>
                <w:rFonts w:ascii="Arial" w:cs="Arial" w:eastAsia="Arial" w:hAnsi="Arial"/>
                <w:color w:val="AABBCC"/>
                <w:sz w:val="15"/>
                <w:szCs w:val="15"/>
              </w:rPr>
              <w:t xml:space="preserve">CV AUC (5-Fold)</w:t>
            </w:r>
          </w:p>
        </w:tc>
        <w:tc>
          <w:tcPr>
            <w:tcW w:type="dxa" w:w="1560"/>
            <w:tcBorders>
              <w:top w:val="none" w:color="FFFFFF" w:sz="0"/>
              <w:left w:val="none" w:color="FFFFFF" w:sz="0"/>
              <w:bottom w:val="none" w:color="FFFFFF" w:sz="0"/>
              <w:right w:val="none" w:color="FFFFFF" w:sz="0"/>
            </w:tcBorders>
            <w:shd w:fill="1B2A4A" w:val="clear"/>
            <w:tcMar>
              <w:top w:type="dxa" w:w="120"/>
              <w:left w:type="dxa" w:w="100"/>
              <w:bottom w:type="dxa" w:w="120"/>
              <w:right w:type="dxa" w:w="100"/>
            </w:tcMar>
          </w:tcPr>
          <w:p>
            <w:pPr>
              <w:spacing w:after="20"/>
              <w:jc w:val="center"/>
            </w:pPr>
            <w:r>
              <w:rPr>
                <w:rFonts w:ascii="Arial" w:cs="Arial" w:eastAsia="Arial" w:hAnsi="Arial"/>
                <w:b/>
                <w:bCs/>
                <w:color w:val="40D9C8"/>
                <w:sz w:val="30"/>
                <w:szCs w:val="30"/>
              </w:rPr>
              <w:t xml:space="preserve">77</w:t>
            </w:r>
          </w:p>
          <w:p>
            <w:pPr>
              <w:jc w:val="center"/>
            </w:pPr>
            <w:r>
              <w:rPr>
                <w:rFonts w:ascii="Arial" w:cs="Arial" w:eastAsia="Arial" w:hAnsi="Arial"/>
                <w:color w:val="AABBCC"/>
                <w:sz w:val="15"/>
                <w:szCs w:val="15"/>
              </w:rPr>
              <w:t xml:space="preserve">World-Check Hits</w:t>
            </w:r>
          </w:p>
        </w:tc>
        <w:tc>
          <w:tcPr>
            <w:tcW w:type="dxa" w:w="1560"/>
            <w:tcBorders>
              <w:top w:val="none" w:color="FFFFFF" w:sz="0"/>
              <w:left w:val="none" w:color="FFFFFF" w:sz="0"/>
              <w:bottom w:val="none" w:color="FFFFFF" w:sz="0"/>
              <w:right w:val="none" w:color="FFFFFF" w:sz="0"/>
            </w:tcBorders>
            <w:shd w:fill="1B2A4A" w:val="clear"/>
            <w:tcMar>
              <w:top w:type="dxa" w:w="120"/>
              <w:left w:type="dxa" w:w="100"/>
              <w:bottom w:type="dxa" w:w="120"/>
              <w:right w:type="dxa" w:w="100"/>
            </w:tcMar>
          </w:tcPr>
          <w:p>
            <w:pPr>
              <w:spacing w:after="20"/>
              <w:jc w:val="center"/>
            </w:pPr>
            <w:r>
              <w:rPr>
                <w:rFonts w:ascii="Arial" w:cs="Arial" w:eastAsia="Arial" w:hAnsi="Arial"/>
                <w:b/>
                <w:bCs/>
                <w:color w:val="40D9C8"/>
                <w:sz w:val="30"/>
                <w:szCs w:val="30"/>
              </w:rPr>
              <w:t xml:space="preserve">109</w:t>
            </w:r>
          </w:p>
          <w:p>
            <w:pPr>
              <w:jc w:val="center"/>
            </w:pPr>
            <w:r>
              <w:rPr>
                <w:rFonts w:ascii="Arial" w:cs="Arial" w:eastAsia="Arial" w:hAnsi="Arial"/>
                <w:color w:val="AABBCC"/>
                <w:sz w:val="15"/>
                <w:szCs w:val="15"/>
              </w:rPr>
              <w:t xml:space="preserve">Shell Companies</w:t>
            </w:r>
          </w:p>
        </w:tc>
      </w:tr>
    </w:tbl>
    <w:p>
      <w:pPr>
        <w:spacing w:after="280" w:before="0"/>
      </w:pPr>
    </w:p>
    <w:p>
      <w:pPr>
        <w:pBdr>
          <w:bottom w:val="single" w:color="0F7C6E" w:sz="8" w:space="4"/>
        </w:pBdr>
        <w:spacing w:after="60" w:before="280"/>
      </w:pPr>
      <w:r>
        <w:rPr>
          <w:rFonts w:ascii="Arial" w:cs="Arial" w:eastAsia="Arial" w:hAnsi="Arial"/>
          <w:b/>
          <w:bCs/>
          <w:color w:val="1B2A4A"/>
          <w:sz w:val="24"/>
          <w:szCs w:val="24"/>
        </w:rPr>
        <w:t xml:space="preserve">Project Overview</w:t>
      </w:r>
    </w:p>
    <w:p>
      <w:pPr>
        <w:spacing w:after="80"/>
      </w:pPr>
      <w:r>
        <w:rPr>
          <w:rFonts w:ascii="Arial" w:cs="Arial" w:eastAsia="Arial" w:hAnsi="Arial"/>
          <w:sz w:val="21"/>
          <w:szCs w:val="21"/>
        </w:rPr>
        <w:t xml:space="preserve">This end-to-end KYC/KYB Entity Risk Scoring Engine simulates the business onboarding and ongoing due diligence workflow used by banks, fintechs, and payment processors. It generates 1,000 synthetic business entities with realistic risk attributes, applies multi-dimensional KYB screening, and trains a Gradient Boosting ML model to classify entities as high-risk for Suspicious Activity Reporting.</w:t>
      </w:r>
    </w:p>
    <w:p>
      <w:pPr>
        <w:spacing w:after="80" w:before="0"/>
      </w:pPr>
    </w:p>
    <w:p>
      <w:pPr>
        <w:spacing w:after="80"/>
      </w:pPr>
      <w:r>
        <w:rPr>
          <w:rFonts w:ascii="Arial" w:cs="Arial" w:eastAsia="Arial" w:hAnsi="Arial"/>
          <w:color w:val="444444"/>
          <w:sz w:val="21"/>
          <w:szCs w:val="21"/>
        </w:rPr>
        <w:t xml:space="preserve">The project demonstrates deep understanding of UBO (Ultimate Beneficial Owner) structures, offshore jurisdiction mapping, sanctions screening logic, and the feature engineering techniques needed to build production KYB risk models.</w:t>
      </w:r>
    </w:p>
    <w:p>
      <w:pPr>
        <w:spacing w:after="160" w:before="0"/>
      </w:pPr>
    </w:p>
    <w:p>
      <w:pPr>
        <w:pBdr>
          <w:bottom w:val="single" w:color="0F7C6E" w:sz="8" w:space="4"/>
        </w:pBdr>
        <w:spacing w:after="60" w:before="280"/>
      </w:pPr>
      <w:r>
        <w:rPr>
          <w:rFonts w:ascii="Arial" w:cs="Arial" w:eastAsia="Arial" w:hAnsi="Arial"/>
          <w:b/>
          <w:bCs/>
          <w:color w:val="1B2A4A"/>
          <w:sz w:val="24"/>
          <w:szCs w:val="24"/>
        </w:rPr>
        <w:t xml:space="preserve">KYB Risk Factors Modelled</w:t>
      </w:r>
    </w:p>
    <w:p>
      <w:pPr>
        <w:spacing w:after="80"/>
      </w:pPr>
      <w:r>
        <w:rPr>
          <w:rFonts w:ascii="Arial" w:cs="Arial" w:eastAsia="Arial" w:hAnsi="Arial"/>
          <w:sz w:val="21"/>
          <w:szCs w:val="21"/>
        </w:rPr>
        <w:t xml:space="preserve">Nine distinct risk categories were modelled — spanning entity structure, ownership opacity, watchlist screening, financial indicators, and document completeness: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1"/>
              <w:left w:val="single" w:color="1B2A4A" w:sz="1"/>
              <w:bottom w:val="single" w:color="1B2A4A" w:sz="1"/>
              <w:right w:val="single" w:color="1B2A4A" w:sz="1"/>
            </w:tcBorders>
            <w:shd w:fill="0F7C6E" w:val="clear"/>
            <w:tcMar>
              <w:top w:type="dxa" w:w="80"/>
              <w:left w:type="dxa" w:w="120"/>
              <w:bottom w:type="dxa" w:w="80"/>
              <w:right w:type="dxa" w:w="120"/>
            </w:tcMar>
          </w:tcPr>
          <w:p>
            <w:r>
              <w:rPr>
                <w:rFonts w:ascii="Arial" w:cs="Arial" w:eastAsia="Arial" w:hAnsi="Arial"/>
                <w:b/>
                <w:bCs/>
                <w:color w:val="FFFFFF"/>
                <w:sz w:val="19"/>
                <w:szCs w:val="19"/>
              </w:rPr>
              <w:t xml:space="preserve">Risk Category</w:t>
            </w:r>
          </w:p>
        </w:tc>
        <w:tc>
          <w:tcPr>
            <w:tcW w:type="dxa" w:w="6560"/>
            <w:tcBorders>
              <w:top w:val="single" w:color="1B2A4A" w:sz="1"/>
              <w:left w:val="single" w:color="1B2A4A" w:sz="1"/>
              <w:bottom w:val="single" w:color="1B2A4A" w:sz="1"/>
              <w:right w:val="single" w:color="1B2A4A" w:sz="1"/>
            </w:tcBorders>
            <w:shd w:fill="0F7C6E" w:val="clear"/>
            <w:tcMar>
              <w:top w:type="dxa" w:w="80"/>
              <w:left w:type="dxa" w:w="120"/>
              <w:bottom w:type="dxa" w:w="80"/>
              <w:right w:type="dxa" w:w="120"/>
            </w:tcMar>
          </w:tcPr>
          <w:p>
            <w:r>
              <w:rPr>
                <w:rFonts w:ascii="Arial" w:cs="Arial" w:eastAsia="Arial" w:hAnsi="Arial"/>
                <w:b/>
                <w:bCs/>
                <w:color w:val="FFFFFF"/>
                <w:sz w:val="19"/>
                <w:szCs w:val="19"/>
              </w:rPr>
              <w:t xml:space="preserve">Indicators Modelled</w:t>
            </w:r>
          </w:p>
        </w:tc>
      </w:tr>
      <w:tr>
        <w:tc>
          <w:tcPr>
            <w:tcW w:type="dxa" w:w="28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bCs/>
                <w:sz w:val="19"/>
                <w:szCs w:val="19"/>
              </w:rPr>
              <w:t xml:space="preserve">UBO Opacity</w:t>
            </w:r>
          </w:p>
        </w:tc>
        <w:tc>
          <w:tcPr>
            <w:tcW w:type="dxa" w:w="656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Undisclosed UBOs, PEP match, sanctions on beneficial owners</w:t>
            </w:r>
          </w:p>
        </w:tc>
      </w:tr>
      <w:tr>
        <w:tc>
          <w:tcPr>
            <w:tcW w:type="dxa" w:w="28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bCs/>
                <w:sz w:val="19"/>
                <w:szCs w:val="19"/>
              </w:rPr>
              <w:t xml:space="preserve">Jurisdiction Risk</w:t>
            </w:r>
          </w:p>
        </w:tc>
        <w:tc>
          <w:tcPr>
            <w:tcW w:type="dxa" w:w="656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sz w:val="19"/>
                <w:szCs w:val="19"/>
              </w:rPr>
              <w:t xml:space="preserve">Offshore incorporation: BVI, Cayman Islands, Panama, Seychelles</w:t>
            </w:r>
          </w:p>
        </w:tc>
      </w:tr>
      <w:tr>
        <w:tc>
          <w:tcPr>
            <w:tcW w:type="dxa" w:w="28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bCs/>
                <w:sz w:val="19"/>
                <w:szCs w:val="19"/>
              </w:rPr>
              <w:t xml:space="preserve">Sector Risk</w:t>
            </w:r>
          </w:p>
        </w:tc>
        <w:tc>
          <w:tcPr>
            <w:tcW w:type="dxa" w:w="656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Cryptocurrency, Arms &amp; Defense, Gambling, Oil &amp; Gas Trading, Mining</w:t>
            </w:r>
          </w:p>
        </w:tc>
      </w:tr>
      <w:tr>
        <w:tc>
          <w:tcPr>
            <w:tcW w:type="dxa" w:w="28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bCs/>
                <w:sz w:val="19"/>
                <w:szCs w:val="19"/>
              </w:rPr>
              <w:t xml:space="preserve">Corporate Structure</w:t>
            </w:r>
          </w:p>
        </w:tc>
        <w:tc>
          <w:tcPr>
            <w:tcW w:type="dxa" w:w="656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sz w:val="19"/>
                <w:szCs w:val="19"/>
              </w:rPr>
              <w:t xml:space="preserve">Shell company flag, complex layering, subsidiary count, layering depth</w:t>
            </w:r>
          </w:p>
        </w:tc>
      </w:tr>
      <w:tr>
        <w:tc>
          <w:tcPr>
            <w:tcW w:type="dxa" w:w="28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bCs/>
                <w:sz w:val="19"/>
                <w:szCs w:val="19"/>
              </w:rPr>
              <w:t xml:space="preserve">Watchlist Screening</w:t>
            </w:r>
          </w:p>
        </w:tc>
        <w:tc>
          <w:tcPr>
            <w:tcW w:type="dxa" w:w="656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World-Check hits, OFAC / UN / EU sanctions matches</w:t>
            </w:r>
          </w:p>
        </w:tc>
      </w:tr>
      <w:tr>
        <w:tc>
          <w:tcPr>
            <w:tcW w:type="dxa" w:w="28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bCs/>
                <w:sz w:val="19"/>
                <w:szCs w:val="19"/>
              </w:rPr>
              <w:t xml:space="preserve">Adverse Media</w:t>
            </w:r>
          </w:p>
        </w:tc>
        <w:tc>
          <w:tcPr>
            <w:tcW w:type="dxa" w:w="656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sz w:val="19"/>
                <w:szCs w:val="19"/>
              </w:rPr>
              <w:t xml:space="preserve">Negative news flag + count of adverse media articles</w:t>
            </w:r>
          </w:p>
        </w:tc>
      </w:tr>
      <w:tr>
        <w:tc>
          <w:tcPr>
            <w:tcW w:type="dxa" w:w="28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bCs/>
                <w:sz w:val="19"/>
                <w:szCs w:val="19"/>
              </w:rPr>
              <w:t xml:space="preserve">Documentation</w:t>
            </w:r>
          </w:p>
        </w:tc>
        <w:tc>
          <w:tcPr>
            <w:tcW w:type="dxa" w:w="656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Incomplete KYC documents — missing UBO declaration, registration proof</w:t>
            </w:r>
          </w:p>
        </w:tc>
      </w:tr>
      <w:tr>
        <w:tc>
          <w:tcPr>
            <w:tcW w:type="dxa" w:w="28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bCs/>
                <w:sz w:val="19"/>
                <w:szCs w:val="19"/>
              </w:rPr>
              <w:t xml:space="preserve">Director Risk</w:t>
            </w:r>
          </w:p>
        </w:tc>
        <w:tc>
          <w:tcPr>
            <w:tcW w:type="dxa" w:w="656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sz w:val="19"/>
                <w:szCs w:val="19"/>
              </w:rPr>
              <w:t xml:space="preserve">Multi-directorship across 5+ entities, dormant company registration</w:t>
            </w:r>
          </w:p>
        </w:tc>
      </w:tr>
      <w:tr>
        <w:tc>
          <w:tcPr>
            <w:tcW w:type="dxa" w:w="28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bCs/>
                <w:sz w:val="19"/>
                <w:szCs w:val="19"/>
              </w:rPr>
              <w:t xml:space="preserve">Financial Opacity</w:t>
            </w:r>
          </w:p>
        </w:tc>
        <w:tc>
          <w:tcPr>
            <w:tcW w:type="dxa" w:w="656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Gap between declared income and annual turnover</w:t>
            </w:r>
          </w:p>
        </w:tc>
      </w:tr>
    </w:tbl>
    <w:p>
      <w:pPr>
        <w:spacing w:after="240" w:before="0"/>
      </w:pPr>
    </w:p>
    <w:p>
      <w:pPr>
        <w:pBdr>
          <w:bottom w:val="single" w:color="0F7C6E" w:sz="8" w:space="4"/>
        </w:pBdr>
        <w:spacing w:after="60" w:before="280"/>
      </w:pPr>
      <w:r>
        <w:rPr>
          <w:rFonts w:ascii="Arial" w:cs="Arial" w:eastAsia="Arial" w:hAnsi="Arial"/>
          <w:b/>
          <w:bCs/>
          <w:color w:val="1B2A4A"/>
          <w:sz w:val="24"/>
          <w:szCs w:val="24"/>
        </w:rPr>
        <w:t xml:space="preserve">Machine Learning Pipeline</w:t>
      </w:r>
    </w:p>
    <w:p>
      <w:pPr>
        <w:spacing w:after="80"/>
      </w:pPr>
      <w:r>
        <w:rPr>
          <w:rFonts w:ascii="Arial" w:cs="Arial" w:eastAsia="Arial" w:hAnsi="Arial"/>
          <w:sz w:val="21"/>
          <w:szCs w:val="21"/>
        </w:rPr>
        <w:t xml:space="preserve">A Gradient Boosting Classifier was selected as the primary model due to its superior handling of mixed feature types and non-linear risk interactions. Feature engineering created three composite risk scores that significantly boosted model performance:</w:t>
      </w:r>
    </w:p>
    <w:p>
      <w:pPr>
        <w:spacing w:after="160" w:before="0"/>
      </w:pPr>
    </w:p>
    <w:p>
      <w:pPr>
        <w:pStyle w:val="Heading2"/>
      </w:pPr>
      <w:r>
        <w:rPr>
          <w:rFonts w:ascii="Arial" w:cs="Arial" w:eastAsia="Arial" w:hAnsi="Arial"/>
          <w:b/>
          <w:bCs/>
          <w:color w:val="0F7C6E"/>
          <w:sz w:val="22"/>
          <w:szCs w:val="22"/>
        </w:rPr>
        <w:t xml:space="preserve">Engineered Feature Importance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Importance</w:t>
            </w:r>
          </w:p>
        </w:tc>
        <w:tc>
          <w:tcPr>
            <w:tcW w:type="dxa" w:w="4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KYB Rationale</w:t>
            </w:r>
          </w:p>
        </w:tc>
      </w:tr>
      <w:tr>
        <w:tc>
          <w:tcPr>
            <w:tcW w:type="dxa" w:w="32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UBO Opacity Score</w:t>
            </w:r>
          </w:p>
        </w:tc>
        <w:tc>
          <w:tcPr>
            <w:tcW w:type="dxa" w:w="12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bCs/>
                <w:color w:val="0F7C6E"/>
                <w:sz w:val="19"/>
                <w:szCs w:val="19"/>
              </w:rPr>
              <w:t xml:space="preserve">28.1%</w:t>
            </w:r>
          </w:p>
        </w:tc>
        <w:tc>
          <w:tcPr>
            <w:tcW w:type="dxa" w:w="496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Composite: non-disclosure + PEP + sanctions weights</w:t>
            </w:r>
          </w:p>
        </w:tc>
      </w:tr>
      <w:tr>
        <w:tc>
          <w:tcPr>
            <w:tcW w:type="dxa" w:w="32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color w:val="222222"/>
                <w:sz w:val="19"/>
                <w:szCs w:val="19"/>
              </w:rPr>
              <w:t xml:space="preserve">World-Check Hit</w:t>
            </w:r>
          </w:p>
        </w:tc>
        <w:tc>
          <w:tcPr>
            <w:tcW w:type="dxa" w:w="12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bCs/>
                <w:color w:val="0F7C6E"/>
                <w:sz w:val="19"/>
                <w:szCs w:val="19"/>
              </w:rPr>
              <w:t xml:space="preserve">19.4%</w:t>
            </w:r>
          </w:p>
        </w:tc>
        <w:tc>
          <w:tcPr>
            <w:tcW w:type="dxa" w:w="496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color w:val="222222"/>
                <w:sz w:val="19"/>
                <w:szCs w:val="19"/>
              </w:rPr>
              <w:t xml:space="preserve">Watchlist match — highest single alert signal</w:t>
            </w:r>
          </w:p>
        </w:tc>
      </w:tr>
      <w:tr>
        <w:tc>
          <w:tcPr>
            <w:tcW w:type="dxa" w:w="32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Alert Signal Count</w:t>
            </w:r>
          </w:p>
        </w:tc>
        <w:tc>
          <w:tcPr>
            <w:tcW w:type="dxa" w:w="12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bCs/>
                <w:color w:val="0F7C6E"/>
                <w:sz w:val="19"/>
                <w:szCs w:val="19"/>
              </w:rPr>
              <w:t xml:space="preserve">15.2%</w:t>
            </w:r>
          </w:p>
        </w:tc>
        <w:tc>
          <w:tcPr>
            <w:tcW w:type="dxa" w:w="496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Sum of all 7 binary red-flag indicators</w:t>
            </w:r>
          </w:p>
        </w:tc>
      </w:tr>
      <w:tr>
        <w:tc>
          <w:tcPr>
            <w:tcW w:type="dxa" w:w="32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color w:val="222222"/>
                <w:sz w:val="19"/>
                <w:szCs w:val="19"/>
              </w:rPr>
              <w:t xml:space="preserve">Structure Complexity</w:t>
            </w:r>
          </w:p>
        </w:tc>
        <w:tc>
          <w:tcPr>
            <w:tcW w:type="dxa" w:w="12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bCs/>
                <w:color w:val="0F7C6E"/>
                <w:sz w:val="19"/>
                <w:szCs w:val="19"/>
              </w:rPr>
              <w:t xml:space="preserve">12.0%</w:t>
            </w:r>
          </w:p>
        </w:tc>
        <w:tc>
          <w:tcPr>
            <w:tcW w:type="dxa" w:w="496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color w:val="222222"/>
                <w:sz w:val="19"/>
                <w:szCs w:val="19"/>
              </w:rPr>
              <w:t xml:space="preserve">Shell + layering + subsidiary composite score</w:t>
            </w:r>
          </w:p>
        </w:tc>
      </w:tr>
      <w:tr>
        <w:tc>
          <w:tcPr>
            <w:tcW w:type="dxa" w:w="32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Jurisdiction Risk Enc.</w:t>
            </w:r>
          </w:p>
        </w:tc>
        <w:tc>
          <w:tcPr>
            <w:tcW w:type="dxa" w:w="12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bCs/>
                <w:color w:val="0F7C6E"/>
                <w:sz w:val="19"/>
                <w:szCs w:val="19"/>
              </w:rPr>
              <w:t xml:space="preserve">8.9%</w:t>
            </w:r>
          </w:p>
        </w:tc>
        <w:tc>
          <w:tcPr>
            <w:tcW w:type="dxa" w:w="496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FATF high-risk / offshore label encoded</w:t>
            </w:r>
          </w:p>
        </w:tc>
      </w:tr>
      <w:tr>
        <w:tc>
          <w:tcPr>
            <w:tcW w:type="dxa" w:w="32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color w:val="222222"/>
                <w:sz w:val="19"/>
                <w:szCs w:val="19"/>
              </w:rPr>
              <w:t xml:space="preserve">Sector Risk Enc.</w:t>
            </w:r>
          </w:p>
        </w:tc>
        <w:tc>
          <w:tcPr>
            <w:tcW w:type="dxa" w:w="12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bCs/>
                <w:color w:val="0F7C6E"/>
                <w:sz w:val="19"/>
                <w:szCs w:val="19"/>
              </w:rPr>
              <w:t xml:space="preserve">6.1%</w:t>
            </w:r>
          </w:p>
        </w:tc>
        <w:tc>
          <w:tcPr>
            <w:tcW w:type="dxa" w:w="496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color w:val="222222"/>
                <w:sz w:val="19"/>
                <w:szCs w:val="19"/>
              </w:rPr>
              <w:t xml:space="preserve">High-risk industry category encoded</w:t>
            </w:r>
          </w:p>
        </w:tc>
      </w:tr>
      <w:tr>
        <w:tc>
          <w:tcPr>
            <w:tcW w:type="dxa" w:w="32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Financial Opacity</w:t>
            </w:r>
          </w:p>
        </w:tc>
        <w:tc>
          <w:tcPr>
            <w:tcW w:type="dxa" w:w="12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bCs/>
                <w:color w:val="0F7C6E"/>
                <w:sz w:val="19"/>
                <w:szCs w:val="19"/>
              </w:rPr>
              <w:t xml:space="preserve">3.9%</w:t>
            </w:r>
          </w:p>
        </w:tc>
        <w:tc>
          <w:tcPr>
            <w:tcW w:type="dxa" w:w="496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Log-transformed income vs. turnover gap</w:t>
            </w:r>
          </w:p>
        </w:tc>
      </w:tr>
      <w:tr>
        <w:tc>
          <w:tcPr>
            <w:tcW w:type="dxa" w:w="32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color w:val="222222"/>
                <w:sz w:val="19"/>
                <w:szCs w:val="19"/>
              </w:rPr>
              <w:t xml:space="preserve">Adverse Media</w:t>
            </w:r>
          </w:p>
        </w:tc>
        <w:tc>
          <w:tcPr>
            <w:tcW w:type="dxa" w:w="12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bCs/>
                <w:color w:val="0F7C6E"/>
                <w:sz w:val="19"/>
                <w:szCs w:val="19"/>
              </w:rPr>
              <w:t xml:space="preserve">3.1%</w:t>
            </w:r>
          </w:p>
        </w:tc>
        <w:tc>
          <w:tcPr>
            <w:tcW w:type="dxa" w:w="496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color w:val="222222"/>
                <w:sz w:val="19"/>
                <w:szCs w:val="19"/>
              </w:rPr>
              <w:t xml:space="preserve">Negative news indicator</w:t>
            </w:r>
          </w:p>
        </w:tc>
      </w:tr>
      <w:tr>
        <w:tc>
          <w:tcPr>
            <w:tcW w:type="dxa" w:w="32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Docs Complete</w:t>
            </w:r>
          </w:p>
        </w:tc>
        <w:tc>
          <w:tcPr>
            <w:tcW w:type="dxa" w:w="12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bCs/>
                <w:color w:val="0F7C6E"/>
                <w:sz w:val="19"/>
                <w:szCs w:val="19"/>
              </w:rPr>
              <w:t xml:space="preserve">2.0%</w:t>
            </w:r>
          </w:p>
        </w:tc>
        <w:tc>
          <w:tcPr>
            <w:tcW w:type="dxa" w:w="496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Document completeness binary flag</w:t>
            </w:r>
          </w:p>
        </w:tc>
      </w:tr>
      <w:tr>
        <w:tc>
          <w:tcPr>
            <w:tcW w:type="dxa" w:w="32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color w:val="222222"/>
                <w:sz w:val="19"/>
                <w:szCs w:val="19"/>
              </w:rPr>
              <w:t xml:space="preserve">Registration Age</w:t>
            </w:r>
          </w:p>
        </w:tc>
        <w:tc>
          <w:tcPr>
            <w:tcW w:type="dxa" w:w="12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bCs/>
                <w:color w:val="0F7C6E"/>
                <w:sz w:val="19"/>
                <w:szCs w:val="19"/>
              </w:rPr>
              <w:t xml:space="preserve">1.1%</w:t>
            </w:r>
          </w:p>
        </w:tc>
        <w:tc>
          <w:tcPr>
            <w:tcW w:type="dxa" w:w="496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color w:val="222222"/>
                <w:sz w:val="19"/>
                <w:szCs w:val="19"/>
              </w:rPr>
              <w:t xml:space="preserve">Entity age in years (dormancy proxy)</w:t>
            </w:r>
          </w:p>
        </w:tc>
      </w:tr>
    </w:tbl>
    <w:p>
      <w:pPr>
        <w:spacing w:after="240" w:before="0"/>
      </w:pPr>
    </w:p>
    <w:p>
      <w:pPr>
        <w:pStyle w:val="Heading2"/>
      </w:pPr>
      <w:r>
        <w:rPr>
          <w:rFonts w:ascii="Arial" w:cs="Arial" w:eastAsia="Arial" w:hAnsi="Arial"/>
          <w:b/>
          <w:bCs/>
          <w:color w:val="0F7C6E"/>
          <w:sz w:val="22"/>
          <w:szCs w:val="22"/>
        </w:rPr>
        <w:t xml:space="preserve">Model Performance Metrics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2A4A" w:sz="1"/>
              <w:left w:val="single" w:color="1B2A4A" w:sz="1"/>
              <w:bottom w:val="single" w:color="1B2A4A" w:sz="1"/>
              <w:right w:val="single" w:color="1B2A4A" w:sz="1"/>
            </w:tcBorders>
            <w:shd w:fill="1B2A4A" w:val="clear"/>
            <w:tcMar>
              <w:top w:type="dxa" w:w="70"/>
              <w:left w:type="dxa" w:w="120"/>
              <w:bottom w:type="dxa" w:w="70"/>
              <w:right w:type="dxa" w:w="120"/>
            </w:tcMar>
          </w:tcPr>
          <w:p>
            <w:r>
              <w:rPr>
                <w:rFonts w:ascii="Arial" w:cs="Arial" w:eastAsia="Arial" w:hAnsi="Arial"/>
                <w:b/>
                <w:bCs/>
                <w:color w:val="FFFFFF"/>
                <w:sz w:val="19"/>
                <w:szCs w:val="19"/>
              </w:rPr>
              <w:t xml:space="preserve">Metric</w:t>
            </w:r>
          </w:p>
        </w:tc>
        <w:tc>
          <w:tcPr>
            <w:tcW w:type="dxa" w:w="3120"/>
            <w:tcBorders>
              <w:top w:val="single" w:color="1B2A4A" w:sz="1"/>
              <w:left w:val="single" w:color="1B2A4A" w:sz="1"/>
              <w:bottom w:val="single" w:color="1B2A4A" w:sz="1"/>
              <w:right w:val="single" w:color="1B2A4A" w:sz="1"/>
            </w:tcBorders>
            <w:shd w:fill="1B2A4A" w:val="clear"/>
            <w:tcMar>
              <w:top w:type="dxa" w:w="70"/>
              <w:left w:type="dxa" w:w="120"/>
              <w:bottom w:type="dxa" w:w="70"/>
              <w:right w:type="dxa" w:w="120"/>
            </w:tcMar>
          </w:tcPr>
          <w:p>
            <w:r>
              <w:rPr>
                <w:rFonts w:ascii="Arial" w:cs="Arial" w:eastAsia="Arial" w:hAnsi="Arial"/>
                <w:b/>
                <w:bCs/>
                <w:color w:val="FFFFFF"/>
                <w:sz w:val="19"/>
                <w:szCs w:val="19"/>
              </w:rPr>
              <w:t xml:space="preserve">Gradient Boosting</w:t>
            </w:r>
          </w:p>
        </w:tc>
        <w:tc>
          <w:tcPr>
            <w:tcW w:type="dxa" w:w="3120"/>
            <w:tcBorders>
              <w:top w:val="single" w:color="1B2A4A" w:sz="1"/>
              <w:left w:val="single" w:color="1B2A4A" w:sz="1"/>
              <w:bottom w:val="single" w:color="1B2A4A" w:sz="1"/>
              <w:right w:val="single" w:color="1B2A4A" w:sz="1"/>
            </w:tcBorders>
            <w:shd w:fill="1B2A4A" w:val="clear"/>
            <w:tcMar>
              <w:top w:type="dxa" w:w="70"/>
              <w:left w:type="dxa" w:w="120"/>
              <w:bottom w:type="dxa" w:w="70"/>
              <w:right w:type="dxa" w:w="120"/>
            </w:tcMar>
          </w:tcPr>
          <w:p>
            <w:r>
              <w:rPr>
                <w:rFonts w:ascii="Arial" w:cs="Arial" w:eastAsia="Arial" w:hAnsi="Arial"/>
                <w:b/>
                <w:bCs/>
                <w:color w:val="FFFFFF"/>
                <w:sz w:val="19"/>
                <w:szCs w:val="19"/>
              </w:rPr>
              <w:t xml:space="preserve">Random Forest</w:t>
            </w:r>
          </w:p>
        </w:tc>
      </w:tr>
      <w:tr>
        <w:trPr>
          <w:tblHeader w:val="false"/>
        </w:trPr>
        <w:tc>
          <w:tcPr>
            <w:tcW w:type="dxa" w:w="3120"/>
            <w:tcBorders>
              <w:top w:val="single" w:color="DDE2EE" w:sz="1"/>
              <w:left w:val="single" w:color="DDE2EE" w:sz="1"/>
              <w:bottom w:val="single" w:color="DDE2EE" w:sz="1"/>
              <w:right w:val="single" w:color="DDE2EE"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Accuracy</w:t>
            </w:r>
          </w:p>
        </w:tc>
        <w:tc>
          <w:tcPr>
            <w:tcW w:type="dxa" w:w="3120"/>
            <w:tcBorders>
              <w:top w:val="single" w:color="DDE2EE" w:sz="1"/>
              <w:left w:val="single" w:color="DDE2EE" w:sz="1"/>
              <w:bottom w:val="single" w:color="DDE2EE" w:sz="1"/>
              <w:right w:val="single" w:color="DDE2EE" w:sz="1"/>
            </w:tcBorders>
            <w:shd w:fill="FFFFFF" w:val="clear"/>
            <w:tcMar>
              <w:top w:type="dxa" w:w="70"/>
              <w:left w:type="dxa" w:w="120"/>
              <w:bottom w:type="dxa" w:w="70"/>
              <w:right w:type="dxa" w:w="120"/>
            </w:tcMar>
          </w:tcPr>
          <w:p>
            <w:r>
              <w:rPr>
                <w:rFonts w:ascii="Arial" w:cs="Arial" w:eastAsia="Arial" w:hAnsi="Arial"/>
                <w:b w:val="false"/>
                <w:bCs w:val="false"/>
                <w:color w:val="0F7C6E"/>
                <w:sz w:val="19"/>
                <w:szCs w:val="19"/>
              </w:rPr>
              <w:t xml:space="preserve">1.00</w:t>
            </w:r>
          </w:p>
        </w:tc>
        <w:tc>
          <w:tcPr>
            <w:tcW w:type="dxa" w:w="3120"/>
            <w:tcBorders>
              <w:top w:val="single" w:color="DDE2EE" w:sz="1"/>
              <w:left w:val="single" w:color="DDE2EE" w:sz="1"/>
              <w:bottom w:val="single" w:color="DDE2EE" w:sz="1"/>
              <w:right w:val="single" w:color="DDE2EE" w:sz="1"/>
            </w:tcBorders>
            <w:shd w:fill="FFFFFF" w:val="clear"/>
            <w:tcMar>
              <w:top w:type="dxa" w:w="70"/>
              <w:left w:type="dxa" w:w="120"/>
              <w:bottom w:type="dxa" w:w="70"/>
              <w:right w:type="dxa" w:w="120"/>
            </w:tcMar>
          </w:tcPr>
          <w:p>
            <w:r>
              <w:rPr>
                <w:rFonts w:ascii="Arial" w:cs="Arial" w:eastAsia="Arial" w:hAnsi="Arial"/>
                <w:b w:val="false"/>
                <w:bCs w:val="false"/>
                <w:color w:val="0F7C6E"/>
                <w:sz w:val="19"/>
                <w:szCs w:val="19"/>
              </w:rPr>
              <w:t xml:space="preserve">1.00</w:t>
            </w:r>
          </w:p>
        </w:tc>
      </w:tr>
      <w:tr>
        <w:trPr>
          <w:tblHeader w:val="false"/>
        </w:trPr>
        <w:tc>
          <w:tcPr>
            <w:tcW w:type="dxa" w:w="3120"/>
            <w:tcBorders>
              <w:top w:val="single" w:color="DDE2EE" w:sz="1"/>
              <w:left w:val="single" w:color="DDE2EE" w:sz="1"/>
              <w:bottom w:val="single" w:color="DDE2EE" w:sz="1"/>
              <w:right w:val="single" w:color="DDE2EE" w:sz="1"/>
            </w:tcBorders>
            <w:shd w:fill="EEF1F7" w:val="clear"/>
            <w:tcMar>
              <w:top w:type="dxa" w:w="70"/>
              <w:left w:type="dxa" w:w="120"/>
              <w:bottom w:type="dxa" w:w="70"/>
              <w:right w:type="dxa" w:w="120"/>
            </w:tcMar>
          </w:tcPr>
          <w:p>
            <w:r>
              <w:rPr>
                <w:rFonts w:ascii="Arial" w:cs="Arial" w:eastAsia="Arial" w:hAnsi="Arial"/>
                <w:b w:val="false"/>
                <w:bCs w:val="false"/>
                <w:color w:val="222222"/>
                <w:sz w:val="19"/>
                <w:szCs w:val="19"/>
              </w:rPr>
              <w:t xml:space="preserve">Precision</w:t>
            </w:r>
          </w:p>
        </w:tc>
        <w:tc>
          <w:tcPr>
            <w:tcW w:type="dxa" w:w="3120"/>
            <w:tcBorders>
              <w:top w:val="single" w:color="DDE2EE" w:sz="1"/>
              <w:left w:val="single" w:color="DDE2EE" w:sz="1"/>
              <w:bottom w:val="single" w:color="DDE2EE" w:sz="1"/>
              <w:right w:val="single" w:color="DDE2EE" w:sz="1"/>
            </w:tcBorders>
            <w:shd w:fill="EEF1F7" w:val="clear"/>
            <w:tcMar>
              <w:top w:type="dxa" w:w="70"/>
              <w:left w:type="dxa" w:w="120"/>
              <w:bottom w:type="dxa" w:w="70"/>
              <w:right w:type="dxa" w:w="120"/>
            </w:tcMar>
          </w:tcPr>
          <w:p>
            <w:r>
              <w:rPr>
                <w:rFonts w:ascii="Arial" w:cs="Arial" w:eastAsia="Arial" w:hAnsi="Arial"/>
                <w:b w:val="false"/>
                <w:bCs w:val="false"/>
                <w:color w:val="0F7C6E"/>
                <w:sz w:val="19"/>
                <w:szCs w:val="19"/>
              </w:rPr>
              <w:t xml:space="preserve">1.00</w:t>
            </w:r>
          </w:p>
        </w:tc>
        <w:tc>
          <w:tcPr>
            <w:tcW w:type="dxa" w:w="3120"/>
            <w:tcBorders>
              <w:top w:val="single" w:color="DDE2EE" w:sz="1"/>
              <w:left w:val="single" w:color="DDE2EE" w:sz="1"/>
              <w:bottom w:val="single" w:color="DDE2EE" w:sz="1"/>
              <w:right w:val="single" w:color="DDE2EE" w:sz="1"/>
            </w:tcBorders>
            <w:shd w:fill="EEF1F7" w:val="clear"/>
            <w:tcMar>
              <w:top w:type="dxa" w:w="70"/>
              <w:left w:type="dxa" w:w="120"/>
              <w:bottom w:type="dxa" w:w="70"/>
              <w:right w:type="dxa" w:w="120"/>
            </w:tcMar>
          </w:tcPr>
          <w:p>
            <w:r>
              <w:rPr>
                <w:rFonts w:ascii="Arial" w:cs="Arial" w:eastAsia="Arial" w:hAnsi="Arial"/>
                <w:b w:val="false"/>
                <w:bCs w:val="false"/>
                <w:color w:val="0F7C6E"/>
                <w:sz w:val="19"/>
                <w:szCs w:val="19"/>
              </w:rPr>
              <w:t xml:space="preserve">1.00</w:t>
            </w:r>
          </w:p>
        </w:tc>
      </w:tr>
      <w:tr>
        <w:trPr>
          <w:tblHeader w:val="false"/>
        </w:trPr>
        <w:tc>
          <w:tcPr>
            <w:tcW w:type="dxa" w:w="3120"/>
            <w:tcBorders>
              <w:top w:val="single" w:color="DDE2EE" w:sz="1"/>
              <w:left w:val="single" w:color="DDE2EE" w:sz="1"/>
              <w:bottom w:val="single" w:color="DDE2EE" w:sz="1"/>
              <w:right w:val="single" w:color="DDE2EE"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Recall</w:t>
            </w:r>
          </w:p>
        </w:tc>
        <w:tc>
          <w:tcPr>
            <w:tcW w:type="dxa" w:w="3120"/>
            <w:tcBorders>
              <w:top w:val="single" w:color="DDE2EE" w:sz="1"/>
              <w:left w:val="single" w:color="DDE2EE" w:sz="1"/>
              <w:bottom w:val="single" w:color="DDE2EE" w:sz="1"/>
              <w:right w:val="single" w:color="DDE2EE" w:sz="1"/>
            </w:tcBorders>
            <w:shd w:fill="FFFFFF" w:val="clear"/>
            <w:tcMar>
              <w:top w:type="dxa" w:w="70"/>
              <w:left w:type="dxa" w:w="120"/>
              <w:bottom w:type="dxa" w:w="70"/>
              <w:right w:type="dxa" w:w="120"/>
            </w:tcMar>
          </w:tcPr>
          <w:p>
            <w:r>
              <w:rPr>
                <w:rFonts w:ascii="Arial" w:cs="Arial" w:eastAsia="Arial" w:hAnsi="Arial"/>
                <w:b w:val="false"/>
                <w:bCs w:val="false"/>
                <w:color w:val="0F7C6E"/>
                <w:sz w:val="19"/>
                <w:szCs w:val="19"/>
              </w:rPr>
              <w:t xml:space="preserve">1.00</w:t>
            </w:r>
          </w:p>
        </w:tc>
        <w:tc>
          <w:tcPr>
            <w:tcW w:type="dxa" w:w="3120"/>
            <w:tcBorders>
              <w:top w:val="single" w:color="DDE2EE" w:sz="1"/>
              <w:left w:val="single" w:color="DDE2EE" w:sz="1"/>
              <w:bottom w:val="single" w:color="DDE2EE" w:sz="1"/>
              <w:right w:val="single" w:color="DDE2EE" w:sz="1"/>
            </w:tcBorders>
            <w:shd w:fill="FFFFFF" w:val="clear"/>
            <w:tcMar>
              <w:top w:type="dxa" w:w="70"/>
              <w:left w:type="dxa" w:w="120"/>
              <w:bottom w:type="dxa" w:w="70"/>
              <w:right w:type="dxa" w:w="120"/>
            </w:tcMar>
          </w:tcPr>
          <w:p>
            <w:r>
              <w:rPr>
                <w:rFonts w:ascii="Arial" w:cs="Arial" w:eastAsia="Arial" w:hAnsi="Arial"/>
                <w:b w:val="false"/>
                <w:bCs w:val="false"/>
                <w:color w:val="0F7C6E"/>
                <w:sz w:val="19"/>
                <w:szCs w:val="19"/>
              </w:rPr>
              <w:t xml:space="preserve">1.00</w:t>
            </w:r>
          </w:p>
        </w:tc>
      </w:tr>
      <w:tr>
        <w:trPr>
          <w:tblHeader w:val="false"/>
        </w:trPr>
        <w:tc>
          <w:tcPr>
            <w:tcW w:type="dxa" w:w="3120"/>
            <w:tcBorders>
              <w:top w:val="single" w:color="DDE2EE" w:sz="1"/>
              <w:left w:val="single" w:color="DDE2EE" w:sz="1"/>
              <w:bottom w:val="single" w:color="DDE2EE" w:sz="1"/>
              <w:right w:val="single" w:color="DDE2EE" w:sz="1"/>
            </w:tcBorders>
            <w:shd w:fill="EEF1F7" w:val="clear"/>
            <w:tcMar>
              <w:top w:type="dxa" w:w="70"/>
              <w:left w:type="dxa" w:w="120"/>
              <w:bottom w:type="dxa" w:w="70"/>
              <w:right w:type="dxa" w:w="120"/>
            </w:tcMar>
          </w:tcPr>
          <w:p>
            <w:r>
              <w:rPr>
                <w:rFonts w:ascii="Arial" w:cs="Arial" w:eastAsia="Arial" w:hAnsi="Arial"/>
                <w:b w:val="false"/>
                <w:bCs w:val="false"/>
                <w:color w:val="222222"/>
                <w:sz w:val="19"/>
                <w:szCs w:val="19"/>
              </w:rPr>
              <w:t xml:space="preserve">F1 Score</w:t>
            </w:r>
          </w:p>
        </w:tc>
        <w:tc>
          <w:tcPr>
            <w:tcW w:type="dxa" w:w="3120"/>
            <w:tcBorders>
              <w:top w:val="single" w:color="DDE2EE" w:sz="1"/>
              <w:left w:val="single" w:color="DDE2EE" w:sz="1"/>
              <w:bottom w:val="single" w:color="DDE2EE" w:sz="1"/>
              <w:right w:val="single" w:color="DDE2EE" w:sz="1"/>
            </w:tcBorders>
            <w:shd w:fill="EEF1F7" w:val="clear"/>
            <w:tcMar>
              <w:top w:type="dxa" w:w="70"/>
              <w:left w:type="dxa" w:w="120"/>
              <w:bottom w:type="dxa" w:w="70"/>
              <w:right w:type="dxa" w:w="120"/>
            </w:tcMar>
          </w:tcPr>
          <w:p>
            <w:r>
              <w:rPr>
                <w:rFonts w:ascii="Arial" w:cs="Arial" w:eastAsia="Arial" w:hAnsi="Arial"/>
                <w:b w:val="false"/>
                <w:bCs w:val="false"/>
                <w:color w:val="0F7C6E"/>
                <w:sz w:val="19"/>
                <w:szCs w:val="19"/>
              </w:rPr>
              <w:t xml:space="preserve">1.00</w:t>
            </w:r>
          </w:p>
        </w:tc>
        <w:tc>
          <w:tcPr>
            <w:tcW w:type="dxa" w:w="3120"/>
            <w:tcBorders>
              <w:top w:val="single" w:color="DDE2EE" w:sz="1"/>
              <w:left w:val="single" w:color="DDE2EE" w:sz="1"/>
              <w:bottom w:val="single" w:color="DDE2EE" w:sz="1"/>
              <w:right w:val="single" w:color="DDE2EE" w:sz="1"/>
            </w:tcBorders>
            <w:shd w:fill="EEF1F7" w:val="clear"/>
            <w:tcMar>
              <w:top w:type="dxa" w:w="70"/>
              <w:left w:type="dxa" w:w="120"/>
              <w:bottom w:type="dxa" w:w="70"/>
              <w:right w:type="dxa" w:w="120"/>
            </w:tcMar>
          </w:tcPr>
          <w:p>
            <w:r>
              <w:rPr>
                <w:rFonts w:ascii="Arial" w:cs="Arial" w:eastAsia="Arial" w:hAnsi="Arial"/>
                <w:b w:val="false"/>
                <w:bCs w:val="false"/>
                <w:color w:val="0F7C6E"/>
                <w:sz w:val="19"/>
                <w:szCs w:val="19"/>
              </w:rPr>
              <w:t xml:space="preserve">1.00</w:t>
            </w:r>
          </w:p>
        </w:tc>
      </w:tr>
      <w:tr>
        <w:trPr>
          <w:tblHeader w:val="false"/>
        </w:trPr>
        <w:tc>
          <w:tcPr>
            <w:tcW w:type="dxa" w:w="3120"/>
            <w:tcBorders>
              <w:top w:val="single" w:color="DDE2EE" w:sz="1"/>
              <w:left w:val="single" w:color="DDE2EE" w:sz="1"/>
              <w:bottom w:val="single" w:color="DDE2EE" w:sz="1"/>
              <w:right w:val="single" w:color="DDE2EE"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ROC-AUC</w:t>
            </w:r>
          </w:p>
        </w:tc>
        <w:tc>
          <w:tcPr>
            <w:tcW w:type="dxa" w:w="3120"/>
            <w:tcBorders>
              <w:top w:val="single" w:color="DDE2EE" w:sz="1"/>
              <w:left w:val="single" w:color="DDE2EE" w:sz="1"/>
              <w:bottom w:val="single" w:color="DDE2EE" w:sz="1"/>
              <w:right w:val="single" w:color="DDE2EE" w:sz="1"/>
            </w:tcBorders>
            <w:shd w:fill="FFFFFF" w:val="clear"/>
            <w:tcMar>
              <w:top w:type="dxa" w:w="70"/>
              <w:left w:type="dxa" w:w="120"/>
              <w:bottom w:type="dxa" w:w="70"/>
              <w:right w:type="dxa" w:w="120"/>
            </w:tcMar>
          </w:tcPr>
          <w:p>
            <w:r>
              <w:rPr>
                <w:rFonts w:ascii="Arial" w:cs="Arial" w:eastAsia="Arial" w:hAnsi="Arial"/>
                <w:b w:val="false"/>
                <w:bCs w:val="false"/>
                <w:color w:val="0F7C6E"/>
                <w:sz w:val="19"/>
                <w:szCs w:val="19"/>
              </w:rPr>
              <w:t xml:space="preserve">1.00</w:t>
            </w:r>
          </w:p>
        </w:tc>
        <w:tc>
          <w:tcPr>
            <w:tcW w:type="dxa" w:w="3120"/>
            <w:tcBorders>
              <w:top w:val="single" w:color="DDE2EE" w:sz="1"/>
              <w:left w:val="single" w:color="DDE2EE" w:sz="1"/>
              <w:bottom w:val="single" w:color="DDE2EE" w:sz="1"/>
              <w:right w:val="single" w:color="DDE2EE" w:sz="1"/>
            </w:tcBorders>
            <w:shd w:fill="FFFFFF" w:val="clear"/>
            <w:tcMar>
              <w:top w:type="dxa" w:w="70"/>
              <w:left w:type="dxa" w:w="120"/>
              <w:bottom w:type="dxa" w:w="70"/>
              <w:right w:type="dxa" w:w="120"/>
            </w:tcMar>
          </w:tcPr>
          <w:p>
            <w:r>
              <w:rPr>
                <w:rFonts w:ascii="Arial" w:cs="Arial" w:eastAsia="Arial" w:hAnsi="Arial"/>
                <w:b w:val="false"/>
                <w:bCs w:val="false"/>
                <w:color w:val="0F7C6E"/>
                <w:sz w:val="19"/>
                <w:szCs w:val="19"/>
              </w:rPr>
              <w:t xml:space="preserve">1.00</w:t>
            </w:r>
          </w:p>
        </w:tc>
      </w:tr>
      <w:tr>
        <w:trPr>
          <w:tblHeader w:val="false"/>
        </w:trPr>
        <w:tc>
          <w:tcPr>
            <w:tcW w:type="dxa" w:w="3120"/>
            <w:tcBorders>
              <w:top w:val="single" w:color="DDE2EE" w:sz="1"/>
              <w:left w:val="single" w:color="DDE2EE" w:sz="1"/>
              <w:bottom w:val="single" w:color="DDE2EE" w:sz="1"/>
              <w:right w:val="single" w:color="DDE2EE" w:sz="1"/>
            </w:tcBorders>
            <w:shd w:fill="EEF1F7" w:val="clear"/>
            <w:tcMar>
              <w:top w:type="dxa" w:w="70"/>
              <w:left w:type="dxa" w:w="120"/>
              <w:bottom w:type="dxa" w:w="70"/>
              <w:right w:type="dxa" w:w="120"/>
            </w:tcMar>
          </w:tcPr>
          <w:p>
            <w:r>
              <w:rPr>
                <w:rFonts w:ascii="Arial" w:cs="Arial" w:eastAsia="Arial" w:hAnsi="Arial"/>
                <w:b w:val="false"/>
                <w:bCs w:val="false"/>
                <w:color w:val="222222"/>
                <w:sz w:val="19"/>
                <w:szCs w:val="19"/>
              </w:rPr>
              <w:t xml:space="preserve">5-Fold CV AUC</w:t>
            </w:r>
          </w:p>
        </w:tc>
        <w:tc>
          <w:tcPr>
            <w:tcW w:type="dxa" w:w="3120"/>
            <w:tcBorders>
              <w:top w:val="single" w:color="DDE2EE" w:sz="1"/>
              <w:left w:val="single" w:color="DDE2EE" w:sz="1"/>
              <w:bottom w:val="single" w:color="DDE2EE" w:sz="1"/>
              <w:right w:val="single" w:color="DDE2EE" w:sz="1"/>
            </w:tcBorders>
            <w:shd w:fill="EEF1F7" w:val="clear"/>
            <w:tcMar>
              <w:top w:type="dxa" w:w="70"/>
              <w:left w:type="dxa" w:w="120"/>
              <w:bottom w:type="dxa" w:w="70"/>
              <w:right w:type="dxa" w:w="120"/>
            </w:tcMar>
          </w:tcPr>
          <w:p>
            <w:r>
              <w:rPr>
                <w:rFonts w:ascii="Arial" w:cs="Arial" w:eastAsia="Arial" w:hAnsi="Arial"/>
                <w:b w:val="false"/>
                <w:bCs w:val="false"/>
                <w:color w:val="0F7C6E"/>
                <w:sz w:val="19"/>
                <w:szCs w:val="19"/>
              </w:rPr>
              <w:t xml:space="preserve">1.00 ± 0.00</w:t>
            </w:r>
          </w:p>
        </w:tc>
        <w:tc>
          <w:tcPr>
            <w:tcW w:type="dxa" w:w="3120"/>
            <w:tcBorders>
              <w:top w:val="single" w:color="DDE2EE" w:sz="1"/>
              <w:left w:val="single" w:color="DDE2EE" w:sz="1"/>
              <w:bottom w:val="single" w:color="DDE2EE" w:sz="1"/>
              <w:right w:val="single" w:color="DDE2EE" w:sz="1"/>
            </w:tcBorders>
            <w:shd w:fill="EEF1F7" w:val="clear"/>
            <w:tcMar>
              <w:top w:type="dxa" w:w="70"/>
              <w:left w:type="dxa" w:w="120"/>
              <w:bottom w:type="dxa" w:w="70"/>
              <w:right w:type="dxa" w:w="120"/>
            </w:tcMar>
          </w:tcPr>
          <w:p>
            <w:r>
              <w:rPr>
                <w:rFonts w:ascii="Arial" w:cs="Arial" w:eastAsia="Arial" w:hAnsi="Arial"/>
                <w:b w:val="false"/>
                <w:bCs w:val="false"/>
                <w:color w:val="0F7C6E"/>
                <w:sz w:val="19"/>
                <w:szCs w:val="19"/>
              </w:rPr>
              <w:t xml:space="preserve">—</w:t>
            </w:r>
          </w:p>
        </w:tc>
      </w:tr>
    </w:tbl>
    <w:p>
      <w:pPr>
        <w:spacing w:after="120" w:before="0"/>
      </w:pPr>
    </w:p>
    <w:p>
      <w:pPr>
        <w:spacing w:after="80"/>
      </w:pPr>
      <w:r>
        <w:rPr>
          <w:rFonts w:ascii="Arial" w:cs="Arial" w:eastAsia="Arial" w:hAnsi="Arial"/>
          <w:i/>
          <w:iCs/>
          <w:color w:val="888888"/>
          <w:sz w:val="17"/>
          <w:szCs w:val="17"/>
        </w:rPr>
        <w:t xml:space="preserve">Note: Perfect scores are expected on synthetic data. In production KYB models, AUC typically ranges 0.78–0.88 depending on data quality, label noise, and ground-truth availability.</w:t>
      </w:r>
    </w:p>
    <w:p>
      <w:pPr>
        <w:spacing w:after="240" w:before="0"/>
      </w:pPr>
    </w:p>
    <w:p>
      <w:pPr>
        <w:pBdr>
          <w:bottom w:val="single" w:color="0F7C6E" w:sz="8" w:space="4"/>
        </w:pBdr>
        <w:spacing w:after="60" w:before="280"/>
      </w:pPr>
      <w:r>
        <w:rPr>
          <w:rFonts w:ascii="Arial" w:cs="Arial" w:eastAsia="Arial" w:hAnsi="Arial"/>
          <w:b/>
          <w:bCs/>
          <w:color w:val="1B2A4A"/>
          <w:sz w:val="24"/>
          <w:szCs w:val="24"/>
        </w:rPr>
        <w:t xml:space="preserve">Dashboard Features</w:t>
      </w:r>
    </w:p>
    <w:p>
      <w:pPr>
        <w:pStyle w:val="ListParagraph"/>
        <w:numPr>
          <w:ilvl w:val="0"/>
          <w:numId w:val="2"/>
        </w:numPr>
        <w:spacing w:after="60"/>
      </w:pPr>
      <w:r>
        <w:rPr>
          <w:rFonts w:ascii="Arial" w:cs="Arial" w:eastAsia="Arial" w:hAnsi="Arial"/>
          <w:b w:val="false"/>
          <w:bCs w:val="false"/>
          <w:sz w:val="21"/>
          <w:szCs w:val="21"/>
        </w:rPr>
        <w:t xml:space="preserve">Live IST clock with active screening status indicator</w:t>
      </w:r>
    </w:p>
    <w:p>
      <w:pPr>
        <w:pStyle w:val="ListParagraph"/>
        <w:numPr>
          <w:ilvl w:val="0"/>
          <w:numId w:val="2"/>
        </w:numPr>
        <w:spacing w:after="60"/>
      </w:pPr>
      <w:r>
        <w:rPr>
          <w:rFonts w:ascii="Arial" w:cs="Arial" w:eastAsia="Arial" w:hAnsi="Arial"/>
          <w:b w:val="false"/>
          <w:bCs w:val="false"/>
          <w:sz w:val="21"/>
          <w:szCs w:val="21"/>
        </w:rPr>
        <w:t xml:space="preserve">6 KPI cards — Total entities, high-risk alerts, World-Check hits, PEP flags, shell companies, model AUC</w:t>
      </w:r>
    </w:p>
    <w:p>
      <w:pPr>
        <w:pStyle w:val="ListParagraph"/>
        <w:numPr>
          <w:ilvl w:val="0"/>
          <w:numId w:val="2"/>
        </w:numPr>
        <w:spacing w:after="60"/>
      </w:pPr>
      <w:r>
        <w:rPr>
          <w:rFonts w:ascii="Arial" w:cs="Arial" w:eastAsia="Arial" w:hAnsi="Arial"/>
          <w:b w:val="false"/>
          <w:bCs w:val="false"/>
          <w:sz w:val="21"/>
          <w:szCs w:val="21"/>
        </w:rPr>
        <w:t xml:space="preserve">Alerts by Sector chart — distinguishing high-risk vs standard industries</w:t>
      </w:r>
    </w:p>
    <w:p>
      <w:pPr>
        <w:pStyle w:val="ListParagraph"/>
        <w:numPr>
          <w:ilvl w:val="0"/>
          <w:numId w:val="2"/>
        </w:numPr>
        <w:spacing w:after="60"/>
      </w:pPr>
      <w:r>
        <w:rPr>
          <w:rFonts w:ascii="Arial" w:cs="Arial" w:eastAsia="Arial" w:hAnsi="Arial"/>
          <w:b w:val="false"/>
          <w:bCs w:val="false"/>
          <w:sz w:val="21"/>
          <w:szCs w:val="21"/>
        </w:rPr>
        <w:t xml:space="preserve">Jurisdiction Risk Distribution doughnut — Offshore / Medium / Low</w:t>
      </w:r>
    </w:p>
    <w:p>
      <w:pPr>
        <w:pStyle w:val="ListParagraph"/>
        <w:numPr>
          <w:ilvl w:val="0"/>
          <w:numId w:val="2"/>
        </w:numPr>
        <w:spacing w:after="60"/>
      </w:pPr>
      <w:r>
        <w:rPr>
          <w:rFonts w:ascii="Arial" w:cs="Arial" w:eastAsia="Arial" w:hAnsi="Arial"/>
          <w:b w:val="false"/>
          <w:bCs w:val="false"/>
          <w:sz w:val="21"/>
          <w:szCs w:val="21"/>
        </w:rPr>
        <w:t xml:space="preserve">KYB Red-Flag Summary — 8 flag types with entity counts</w:t>
      </w:r>
    </w:p>
    <w:p>
      <w:pPr>
        <w:pStyle w:val="ListParagraph"/>
        <w:numPr>
          <w:ilvl w:val="0"/>
          <w:numId w:val="2"/>
        </w:numPr>
        <w:spacing w:after="60"/>
      </w:pPr>
      <w:r>
        <w:rPr>
          <w:rFonts w:ascii="Arial" w:cs="Arial" w:eastAsia="Arial" w:hAnsi="Arial"/>
          <w:b w:val="false"/>
          <w:bCs w:val="false"/>
          <w:sz w:val="21"/>
          <w:szCs w:val="21"/>
        </w:rPr>
        <w:t xml:space="preserve">ML Model Performance panel — 6 metrics + feature importance bars</w:t>
      </w:r>
    </w:p>
    <w:p>
      <w:pPr>
        <w:pStyle w:val="ListParagraph"/>
        <w:numPr>
          <w:ilvl w:val="0"/>
          <w:numId w:val="2"/>
        </w:numPr>
        <w:spacing w:after="60"/>
      </w:pPr>
      <w:r>
        <w:rPr>
          <w:rFonts w:ascii="Arial" w:cs="Arial" w:eastAsia="Arial" w:hAnsi="Arial"/>
          <w:b w:val="false"/>
          <w:bCs w:val="false"/>
          <w:sz w:val="21"/>
          <w:szCs w:val="21"/>
        </w:rPr>
        <w:t xml:space="preserve">KYB Alert Queue — 205 high-risk entities, filterable by jurisdiction, sector, flag type, and search</w:t>
      </w:r>
    </w:p>
    <w:p>
      <w:pPr>
        <w:spacing w:after="240" w:before="0"/>
      </w:pPr>
    </w:p>
    <w:p>
      <w:pPr>
        <w:pBdr>
          <w:bottom w:val="single" w:color="0F7C6E" w:sz="8" w:space="4"/>
        </w:pBdr>
        <w:spacing w:after="60" w:before="280"/>
      </w:pPr>
      <w:r>
        <w:rPr>
          <w:rFonts w:ascii="Arial" w:cs="Arial" w:eastAsia="Arial" w:hAnsi="Arial"/>
          <w:b/>
          <w:bCs/>
          <w:color w:val="1B2A4A"/>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B2A4A" w:sz="1"/>
              <w:left w:val="single" w:color="1B2A4A" w:sz="1"/>
              <w:bottom w:val="single" w:color="1B2A4A" w:sz="1"/>
              <w:right w:val="single" w:color="1B2A4A" w:sz="1"/>
            </w:tcBorders>
            <w:shd w:fill="0F7C6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200"/>
            <w:tcBorders>
              <w:top w:val="single" w:color="1B2A4A" w:sz="1"/>
              <w:left w:val="single" w:color="1B2A4A" w:sz="1"/>
              <w:bottom w:val="single" w:color="1B2A4A" w:sz="1"/>
              <w:right w:val="single" w:color="1B2A4A" w:sz="1"/>
            </w:tcBorders>
            <w:shd w:fill="0F7C6E"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160"/>
            <w:tcBorders>
              <w:top w:val="single" w:color="1B2A4A" w:sz="1"/>
              <w:left w:val="single" w:color="1B2A4A" w:sz="1"/>
              <w:bottom w:val="single" w:color="1B2A4A" w:sz="1"/>
              <w:right w:val="single" w:color="1B2A4A" w:sz="1"/>
            </w:tcBorders>
            <w:shd w:fill="0F7C6E"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bCs/>
                <w:sz w:val="19"/>
                <w:szCs w:val="19"/>
              </w:rPr>
              <w:t xml:space="preserve">Data Generation</w:t>
            </w:r>
          </w:p>
        </w:tc>
        <w:tc>
          <w:tcPr>
            <w:tcW w:type="dxa" w:w="32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Python · Pandas · NumPy</w:t>
            </w:r>
          </w:p>
        </w:tc>
        <w:tc>
          <w:tcPr>
            <w:tcW w:type="dxa" w:w="416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1,000 synthetic entities with 9 risk dimensions</w:t>
            </w:r>
          </w:p>
        </w:tc>
      </w:tr>
      <w:tr>
        <w:tc>
          <w:tcPr>
            <w:tcW w:type="dxa" w:w="20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bCs/>
                <w:sz w:val="19"/>
                <w:szCs w:val="19"/>
              </w:rPr>
              <w:t xml:space="preserve">ML Model</w:t>
            </w:r>
          </w:p>
        </w:tc>
        <w:tc>
          <w:tcPr>
            <w:tcW w:type="dxa" w:w="32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sz w:val="19"/>
                <w:szCs w:val="19"/>
              </w:rPr>
              <w:t xml:space="preserve">scikit-learn — GradientBoostingClassifier</w:t>
            </w:r>
          </w:p>
        </w:tc>
        <w:tc>
          <w:tcPr>
            <w:tcW w:type="dxa" w:w="416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sz w:val="19"/>
                <w:szCs w:val="19"/>
              </w:rPr>
              <w:t xml:space="preserve">300 estimators, learning rate 0.05, subsample 0.8</w:t>
            </w:r>
          </w:p>
        </w:tc>
      </w:tr>
      <w:tr>
        <w:tc>
          <w:tcPr>
            <w:tcW w:type="dxa" w:w="20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bCs/>
                <w:sz w:val="19"/>
                <w:szCs w:val="19"/>
              </w:rPr>
              <w:t xml:space="preserve">Baseline Model</w:t>
            </w:r>
          </w:p>
        </w:tc>
        <w:tc>
          <w:tcPr>
            <w:tcW w:type="dxa" w:w="32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scikit-learn — RandomForestClassifier</w:t>
            </w:r>
          </w:p>
        </w:tc>
        <w:tc>
          <w:tcPr>
            <w:tcW w:type="dxa" w:w="416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200 estimators, balanced class weights</w:t>
            </w:r>
          </w:p>
        </w:tc>
      </w:tr>
      <w:tr>
        <w:tc>
          <w:tcPr>
            <w:tcW w:type="dxa" w:w="20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bCs/>
                <w:sz w:val="19"/>
                <w:szCs w:val="19"/>
              </w:rPr>
              <w:t xml:space="preserve">Cross-Validation</w:t>
            </w:r>
          </w:p>
        </w:tc>
        <w:tc>
          <w:tcPr>
            <w:tcW w:type="dxa" w:w="32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sz w:val="19"/>
                <w:szCs w:val="19"/>
              </w:rPr>
              <w:t xml:space="preserve">StratifiedKFold (5-fold)</w:t>
            </w:r>
          </w:p>
        </w:tc>
        <w:tc>
          <w:tcPr>
            <w:tcW w:type="dxa" w:w="416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sz w:val="19"/>
                <w:szCs w:val="19"/>
              </w:rPr>
              <w:t xml:space="preserve">Robust AUC estimation on imbalanced classes</w:t>
            </w:r>
          </w:p>
        </w:tc>
      </w:tr>
      <w:tr>
        <w:tc>
          <w:tcPr>
            <w:tcW w:type="dxa" w:w="20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bCs/>
                <w:sz w:val="19"/>
                <w:szCs w:val="19"/>
              </w:rPr>
              <w:t xml:space="preserve">Feature Eng.</w:t>
            </w:r>
          </w:p>
        </w:tc>
        <w:tc>
          <w:tcPr>
            <w:tcW w:type="dxa" w:w="32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Composite scores · Log transforms · Encoding</w:t>
            </w:r>
          </w:p>
        </w:tc>
        <w:tc>
          <w:tcPr>
            <w:tcW w:type="dxa" w:w="416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UBO opacity, structure complexity, financial opacity</w:t>
            </w:r>
          </w:p>
        </w:tc>
      </w:tr>
      <w:tr>
        <w:tc>
          <w:tcPr>
            <w:tcW w:type="dxa" w:w="20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bCs/>
                <w:sz w:val="19"/>
                <w:szCs w:val="19"/>
              </w:rPr>
              <w:t xml:space="preserve">Visualization</w:t>
            </w:r>
          </w:p>
        </w:tc>
        <w:tc>
          <w:tcPr>
            <w:tcW w:type="dxa" w:w="320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sz w:val="19"/>
                <w:szCs w:val="19"/>
              </w:rPr>
              <w:t xml:space="preserve">Chart.js · HTML/CSS · IBM Plex fonts</w:t>
            </w:r>
          </w:p>
        </w:tc>
        <w:tc>
          <w:tcPr>
            <w:tcW w:type="dxa" w:w="4160"/>
            <w:tcBorders>
              <w:top w:val="single" w:color="DDE2EE" w:sz="1"/>
              <w:left w:val="single" w:color="DDE2EE" w:sz="1"/>
              <w:bottom w:val="single" w:color="DDE2EE" w:sz="1"/>
              <w:right w:val="single" w:color="DDE2EE" w:sz="1"/>
            </w:tcBorders>
            <w:shd w:fill="EEF1F7" w:val="clear"/>
            <w:tcMar>
              <w:top w:type="dxa" w:w="60"/>
              <w:left w:type="dxa" w:w="120"/>
              <w:bottom w:type="dxa" w:w="60"/>
              <w:right w:type="dxa" w:w="120"/>
            </w:tcMar>
          </w:tcPr>
          <w:p>
            <w:r>
              <w:rPr>
                <w:rFonts w:ascii="Arial" w:cs="Arial" w:eastAsia="Arial" w:hAnsi="Arial"/>
                <w:b w:val="false"/>
                <w:bCs w:val="false"/>
                <w:sz w:val="19"/>
                <w:szCs w:val="19"/>
              </w:rPr>
              <w:t xml:space="preserve">Filterable alert queue, KPI strip, flag summary</w:t>
            </w:r>
          </w:p>
        </w:tc>
      </w:tr>
      <w:tr>
        <w:tc>
          <w:tcPr>
            <w:tcW w:type="dxa" w:w="20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bCs/>
                <w:sz w:val="19"/>
                <w:szCs w:val="19"/>
              </w:rPr>
              <w:t xml:space="preserve">AML Domain</w:t>
            </w:r>
          </w:p>
        </w:tc>
        <w:tc>
          <w:tcPr>
            <w:tcW w:type="dxa" w:w="320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KYC/KYB · UBO DD · Sanctions · World-Check</w:t>
            </w:r>
          </w:p>
        </w:tc>
        <w:tc>
          <w:tcPr>
            <w:tcW w:type="dxa" w:w="4160"/>
            <w:tcBorders>
              <w:top w:val="single" w:color="DDE2EE" w:sz="1"/>
              <w:left w:val="single" w:color="DDE2EE" w:sz="1"/>
              <w:bottom w:val="single" w:color="DDE2EE" w:sz="1"/>
              <w:right w:val="single" w:color="DDE2EE"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9 KYB typologies, offshore jurisdiction mapping</w:t>
            </w:r>
          </w:p>
        </w:tc>
      </w:tr>
    </w:tbl>
    <w:p>
      <w:pPr>
        <w:spacing w:after="240" w:before="0"/>
      </w:pPr>
    </w:p>
    <w:p>
      <w:pPr>
        <w:pBdr>
          <w:bottom w:val="single" w:color="0F7C6E" w:sz="8" w:space="4"/>
        </w:pBdr>
        <w:spacing w:after="60" w:before="280"/>
      </w:pPr>
      <w:r>
        <w:rPr>
          <w:rFonts w:ascii="Arial" w:cs="Arial" w:eastAsia="Arial" w:hAnsi="Arial"/>
          <w:b/>
          <w:bCs/>
          <w:color w:val="1B2A4A"/>
          <w:sz w:val="24"/>
          <w:szCs w:val="24"/>
        </w:rPr>
        <w:t xml:space="preserve">How to Run</w:t>
      </w:r>
    </w:p>
    <w:p>
      <w:pPr>
        <w:pStyle w:val="ListParagraph"/>
        <w:numPr>
          <w:ilvl w:val="0"/>
          <w:numId w:val="3"/>
        </w:numPr>
      </w:pPr>
      <w:r>
        <w:rPr>
          <w:rFonts w:ascii="Arial" w:cs="Arial" w:eastAsia="Arial" w:hAnsi="Arial"/>
          <w:sz w:val="21"/>
          <w:szCs w:val="21"/>
        </w:rPr>
        <w:t xml:space="preserve">Clone: git clone github.com/yourusername/kyc-kyb-risk-engine</w:t>
      </w:r>
    </w:p>
    <w:p>
      <w:pPr>
        <w:pStyle w:val="ListParagraph"/>
        <w:numPr>
          <w:ilvl w:val="0"/>
          <w:numId w:val="3"/>
        </w:numPr>
      </w:pPr>
      <w:r>
        <w:rPr>
          <w:rFonts w:ascii="Arial" w:cs="Arial" w:eastAsia="Arial" w:hAnsi="Arial"/>
          <w:sz w:val="21"/>
          <w:szCs w:val="21"/>
        </w:rPr>
        <w:t xml:space="preserve">Install: pip install pandas numpy scikit-learn</w:t>
      </w:r>
    </w:p>
    <w:p>
      <w:pPr>
        <w:pStyle w:val="ListParagraph"/>
        <w:numPr>
          <w:ilvl w:val="0"/>
          <w:numId w:val="3"/>
        </w:numPr>
      </w:pPr>
      <w:r>
        <w:rPr>
          <w:rFonts w:ascii="Arial" w:cs="Arial" w:eastAsia="Arial" w:hAnsi="Arial"/>
          <w:sz w:val="21"/>
          <w:szCs w:val="21"/>
        </w:rPr>
        <w:t xml:space="preserve">Generate: python generate_entities.py</w:t>
      </w:r>
    </w:p>
    <w:p>
      <w:pPr>
        <w:pStyle w:val="ListParagraph"/>
        <w:numPr>
          <w:ilvl w:val="0"/>
          <w:numId w:val="3"/>
        </w:numPr>
      </w:pPr>
      <w:r>
        <w:rPr>
          <w:rFonts w:ascii="Arial" w:cs="Arial" w:eastAsia="Arial" w:hAnsi="Arial"/>
          <w:sz w:val="21"/>
          <w:szCs w:val="21"/>
        </w:rPr>
        <w:t xml:space="preserve">Train: python train_model.py</w:t>
      </w:r>
    </w:p>
    <w:p>
      <w:pPr>
        <w:pStyle w:val="ListParagraph"/>
        <w:numPr>
          <w:ilvl w:val="0"/>
          <w:numId w:val="3"/>
        </w:numPr>
      </w:pPr>
      <w:r>
        <w:rPr>
          <w:rFonts w:ascii="Arial" w:cs="Arial" w:eastAsia="Arial" w:hAnsi="Arial"/>
          <w:sz w:val="21"/>
          <w:szCs w:val="21"/>
        </w:rPr>
        <w:t xml:space="preserve">Open kyb_dashboard.html in any browser — no server required</w:t>
      </w:r>
    </w:p>
    <w:p>
      <w:pPr>
        <w:spacing w:after="240" w:before="0"/>
      </w:pPr>
    </w:p>
    <w:p>
      <w:pPr>
        <w:pBdr>
          <w:bottom w:val="single" w:color="0F7C6E" w:sz="8" w:space="4"/>
        </w:pBdr>
        <w:spacing w:after="60" w:before="280"/>
      </w:pPr>
      <w:r>
        <w:rPr>
          <w:rFonts w:ascii="Arial" w:cs="Arial" w:eastAsia="Arial" w:hAnsi="Arial"/>
          <w:b/>
          <w:bCs/>
          <w:color w:val="1B2A4A"/>
          <w:sz w:val="24"/>
          <w:szCs w:val="24"/>
        </w:rPr>
        <w:t xml:space="preserve">Author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B2A4A" w:val="clear"/>
            <w:tcMar>
              <w:top w:type="dxa" w:w="200"/>
              <w:left w:type="dxa" w:w="240"/>
              <w:bottom w:type="dxa" w:w="200"/>
              <w:right w:type="dxa" w:w="240"/>
            </w:tcMar>
          </w:tcPr>
          <w:p>
            <w:pPr>
              <w:spacing w:after="60"/>
            </w:pPr>
            <w:r>
              <w:rPr>
                <w:rFonts w:ascii="Arial" w:cs="Arial" w:eastAsia="Arial" w:hAnsi="Arial"/>
                <w:b/>
                <w:bCs/>
                <w:color w:val="FFFFFF"/>
                <w:sz w:val="32"/>
                <w:szCs w:val="32"/>
              </w:rPr>
              <w:t xml:space="preserve">Kishore U.</w:t>
            </w:r>
          </w:p>
          <w:p>
            <w:pPr>
              <w:spacing w:after="20"/>
            </w:pPr>
            <w:r>
              <w:rPr>
                <w:rFonts w:ascii="Arial" w:cs="Arial" w:eastAsia="Arial" w:hAnsi="Arial"/>
                <w:color w:val="AABBCC"/>
                <w:sz w:val="20"/>
                <w:szCs w:val="20"/>
              </w:rPr>
              <w:t xml:space="preserve">KYC/KYB Compliance Analyst</w:t>
            </w:r>
          </w:p>
          <w:p>
            <w:pPr>
              <w:spacing w:after="20"/>
            </w:pPr>
            <w:r>
              <w:rPr>
                <w:rFonts w:ascii="Arial" w:cs="Arial" w:eastAsia="Arial" w:hAnsi="Arial"/>
                <w:color w:val="AABBCC"/>
                <w:sz w:val="20"/>
                <w:szCs w:val="20"/>
              </w:rPr>
              <w:t xml:space="preserve">Data Analytics  |  MBA Business Analytics</w:t>
            </w:r>
          </w:p>
          <w:p>
            <w:r>
              <w:rPr>
                <w:rFonts w:ascii="Arial" w:cs="Arial" w:eastAsia="Arial" w:hAnsi="Arial"/>
                <w:color w:val="7788AA"/>
                <w:sz w:val="18"/>
                <w:szCs w:val="18"/>
              </w:rPr>
              <w:t xml:space="preserve">Manipal University 2024</w:t>
            </w:r>
          </w:p>
        </w:tc>
        <w:tc>
          <w:tcPr>
            <w:tcW w:type="dxa" w:w="4680"/>
            <w:tcBorders>
              <w:top w:val="none" w:color="FFFFFF" w:sz="0"/>
              <w:left w:val="none" w:color="FFFFFF" w:sz="0"/>
              <w:bottom w:val="none" w:color="FFFFFF" w:sz="0"/>
              <w:right w:val="none" w:color="FFFFFF" w:sz="0"/>
            </w:tcBorders>
            <w:shd w:fill="EEF1F7" w:val="clear"/>
            <w:tcMar>
              <w:top w:type="dxa" w:w="200"/>
              <w:left w:type="dxa" w:w="240"/>
              <w:bottom w:type="dxa" w:w="200"/>
              <w:right w:type="dxa" w:w="240"/>
            </w:tcMar>
          </w:tcPr>
          <w:p>
            <w:pPr>
              <w:spacing w:after="80"/>
            </w:pPr>
            <w:r>
              <w:rPr>
                <w:rFonts w:ascii="Arial" w:cs="Arial" w:eastAsia="Arial" w:hAnsi="Arial"/>
                <w:b/>
                <w:bCs/>
                <w:color w:val="1B2A4A"/>
                <w:sz w:val="22"/>
                <w:szCs w:val="22"/>
              </w:rPr>
              <w:t xml:space="preserve">Contact &amp; Links</w:t>
            </w:r>
          </w:p>
          <w:p>
            <w:pPr>
              <w:spacing w:after="60"/>
            </w:pPr>
            <w:r>
              <w:rPr>
                <w:rFonts w:ascii="Arial" w:cs="Arial" w:eastAsia="Arial" w:hAnsi="Arial"/>
                <w:color w:val="333333"/>
                <w:sz w:val="20"/>
                <w:szCs w:val="20"/>
              </w:rPr>
              <w:t xml:space="preserve">📱 6303308133</w:t>
            </w:r>
          </w:p>
          <w:p>
            <w:pPr>
              <w:spacing w:after="60"/>
            </w:pPr>
            <w:r>
              <w:rPr>
                <w:rFonts w:ascii="Arial" w:cs="Arial" w:eastAsia="Arial" w:hAnsi="Arial"/>
                <w:color w:val="0F7C6E"/>
                <w:sz w:val="20"/>
                <w:szCs w:val="20"/>
              </w:rPr>
              <w:t xml:space="preserve">🔗 github.com/yourusername</w:t>
            </w:r>
          </w:p>
          <w:p>
            <w:r>
              <w:rPr>
                <w:rFonts w:ascii="Arial" w:cs="Arial" w:eastAsia="Arial" w:hAnsi="Arial"/>
                <w:color w:val="555555"/>
                <w:sz w:val="18"/>
                <w:szCs w:val="18"/>
              </w:rPr>
              <w:t xml:space="preserve">💼 Immediate Joiner  |  Bangalore / Hyderabad / Mumbai / Chennai</w:t>
            </w:r>
          </w:p>
        </w:tc>
      </w:tr>
    </w:tbl>
    <w:p>
      <w:pPr>
        <w:spacing w:after="280" w:before="0"/>
      </w:pPr>
    </w:p>
    <w:p>
      <w:pPr>
        <w:jc w:val="center"/>
      </w:pPr>
      <w:r>
        <w:rPr>
          <w:rFonts w:ascii="Arial" w:cs="Arial" w:eastAsia="Arial" w:hAnsi="Arial"/>
          <w:i/>
          <w:iCs/>
          <w:color w:val="888888"/>
          <w:sz w:val="17"/>
          <w:szCs w:val="17"/>
        </w:rPr>
        <w:t xml:space="preserve">Disclaimer: All data is 100% synthetic. No real entity, person, or financial information was used.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2EE" w:sz="4" w:space="4"/>
      </w:pBdr>
      <w:jc w:val="center"/>
    </w:pPr>
    <w:r>
      <w:rPr>
        <w:rFonts w:ascii="Arial" w:cs="Arial" w:eastAsia="Arial" w:hAnsi="Arial"/>
        <w:color w:val="888888"/>
        <w:sz w:val="16"/>
        <w:szCs w:val="16"/>
      </w:rPr>
      <w:t xml:space="preserve">KYC/KYB Due Diligence Portfolio  |  github.com/yourusername/kyc-kyb-risk-engine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2EE" w:sz="4" w:space="4"/>
      </w:pBdr>
    </w:pPr>
    <w:r>
      <w:rPr>
        <w:rFonts w:ascii="Arial" w:cs="Arial" w:eastAsia="Arial" w:hAnsi="Arial"/>
        <w:color w:val="888888"/>
        <w:sz w:val="18"/>
        <w:szCs w:val="18"/>
      </w:rPr>
      <w:t xml:space="preserve">KYC/KYB Entity Risk Scoring Engine  </w:t>
    </w:r>
    <w:r>
      <w:rPr>
        <w:rFonts w:ascii="Arial" w:cs="Arial" w:eastAsia="Arial" w:hAnsi="Arial"/>
        <w:b/>
        <w:bCs/>
        <w:color w:val="1B2A4A"/>
        <w:sz w:val="18"/>
        <w:szCs w:val="18"/>
      </w:rPr>
      <w:t xml:space="preserve">| Kishore 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ind w:left="720" w:hanging="360"/>
      </w:pPr>
    </w:lvl>
  </w:abstractNum>
  <w:abstractNum w:abstractNumId="3" w15:restartNumberingAfterBreak="0">
    <w:multiLevelType w:val="hybridMultilevel"/>
    <w:lvl w:ilvl="0" w15:tentative="1">
      <w:start w:val="1"/>
      <w:numFmt w:val="decimal"/>
      <w:lvlText w:val="%1."/>
      <w:lvlJc w:val="left"/>
      <w:pPr>
        <w:spacing w:after="4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40"/>
      <w:szCs w:val="40"/>
    </w:rPr>
  </w:style>
  <w:style w:type="paragraph" w:styleId="Heading2">
    <w:name w:val="Heading 2"/>
    <w:basedOn w:val="Normal"/>
    <w:next w:val="Normal"/>
    <w:qFormat/>
    <w:pPr>
      <w:spacing w:after="80" w:before="200"/>
      <w:outlineLvl w:val="1"/>
    </w:pPr>
    <w:rPr>
      <w:rFonts w:ascii="Arial" w:cs="Arial" w:eastAsia="Arial" w:hAnsi="Arial"/>
      <w:b/>
      <w:bCs/>
      <w:color w:val="0F7C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2026-04-25T13:14:20.915Z</dcterms:created>
  <dcterms:modified xsi:type="dcterms:W3CDTF">2026-04-25T13:14:20.916Z</dcterms:modified>
</cp:coreProperties>
</file>

<file path=docProps/custom.xml><?xml version="1.0" encoding="utf-8"?>
<Properties xmlns="http://schemas.openxmlformats.org/officeDocument/2006/custom-properties" xmlns:vt="http://schemas.openxmlformats.org/officeDocument/2006/docPropsVTypes"/>
</file>