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A0A08"/>
  <w:body>
    <w:p/>
    <w:p/>
    <w:p/>
    <w:p/>
    <w:p/>
    <w:p/>
    <w:p>
      <w:pPr>
        <w:spacing w:after="120"/>
        <w:jc w:val="center"/>
      </w:pPr>
      <w:r>
        <w:rPr>
          <w:rFonts w:ascii="Yu Mincho" w:cs="Yu Mincho" w:eastAsia="Yu Mincho" w:hAnsi="Yu Mincho"/>
          <w:b/>
          <w:bCs/>
          <w:i w:val="false"/>
          <w:iCs w:val="false"/>
          <w:color w:val="C9A24A"/>
          <w:sz w:val="32"/>
          <w:szCs w:val="32"/>
        </w:rPr>
        <w:t xml:space="preserve">MAGA Project Constitution</w:t>
      </w:r>
    </w:p>
    <w:p>
      <w:pPr>
        <w:spacing w:after="120"/>
        <w:jc w:val="center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B8AF9C"/>
          <w:sz w:val="24"/>
          <w:szCs w:val="24"/>
        </w:rPr>
        <w:t xml:space="preserve">Living Constitution — Phase 3</w:t>
      </w:r>
    </w:p>
    <w:p/>
    <w:p>
      <w:pPr>
        <w:spacing w:after="120"/>
        <w:jc w:val="center"/>
      </w:pPr>
      <w:r>
        <w:rPr>
          <w:rFonts w:ascii="Yu Mincho" w:cs="Yu Mincho" w:eastAsia="Yu Mincho" w:hAnsi="Yu Mincho"/>
          <w:b w:val="false"/>
          <w:bCs w:val="false"/>
          <w:i/>
          <w:iCs/>
          <w:color w:val="EAE3D3"/>
          <w:sz w:val="18"/>
          <w:szCs w:val="18"/>
        </w:rPr>
        <w:t xml:space="preserve">Batch 2：Research Timeline</w:t>
      </w:r>
    </w:p>
    <w:p/>
    <w:p/>
    <w:p/>
    <w:p/>
    <w:p/>
    <w:p/>
    <w:p>
      <w:pPr>
        <w:spacing w:after="120"/>
        <w:jc w:val="center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B8AF9C"/>
          <w:sz w:val="16"/>
          <w:szCs w:val="16"/>
        </w:rPr>
        <w:t xml:space="preserve">2026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34"/>
          <w:szCs w:val="34"/>
        </w:rPr>
        <w:t xml:space="preserve">Research Timeline</w:t>
      </w:r>
    </w:p>
    <w:p>
      <w:pPr>
        <w:spacing w:after="160" w:line="340"/>
      </w:pPr>
      <w:r>
        <w:rPr>
          <w:rFonts w:ascii="Yu Mincho" w:cs="Yu Mincho" w:eastAsia="Yu Mincho" w:hAnsi="Yu Mincho"/>
          <w:b w:val="false"/>
          <w:bCs w:val="false"/>
          <w:i/>
          <w:iCs/>
          <w:color w:val="EAE3D3"/>
          <w:sz w:val="21"/>
          <w:szCs w:val="21"/>
        </w:rPr>
        <w:t xml:space="preserve">勾玉図鑑の観測ログ・設計仮説を、発見の順に並べる。番号は目安であり、実際は往復と訂正を含むため、きれいな直線ではない。</w:t>
      </w:r>
    </w:p>
    <w:p>
      <w:pPr>
        <w:spacing w:after="100" w:before="100"/>
        <w:jc w:val="center"/>
      </w:pPr>
      <w:r>
        <w:rPr>
          <w:rFonts w:ascii="Yu Mincho" w:cs="Yu Mincho" w:eastAsia="Yu Mincho" w:hAnsi="Yu Mincho"/>
          <w:color w:val="C9A24A"/>
          <w:sz w:val="20"/>
          <w:szCs w:val="20"/>
        </w:rPr>
        <w:t xml:space="preserve">⸻</w:t>
      </w:r>
    </w:p>
    <w:p>
      <w:pPr>
        <w:spacing w:after="200" w:line="340"/>
      </w:pPr>
      <w:r>
        <w:rPr>
          <w:rFonts w:ascii="Yu Mincho" w:cs="Yu Mincho" w:eastAsia="Yu Mincho" w:hAnsi="Yu Mincho"/>
          <w:b/>
          <w:bCs/>
          <w:color w:val="C9A24A"/>
          <w:sz w:val="22"/>
          <w:szCs w:val="22"/>
        </w:rPr>
        <w:t xml:space="preserve">Day 0 ── 出発点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
MAGA-TAMAの理解が更新される。「認知を記述する理論」→「認知が立ち上がる条件を観測・設計・検証する研究方法論」。研究憲章（第0章）が定まる。</w:t>
      </w:r>
    </w:p>
    <w:p>
      <w:pPr>
        <w:spacing w:after="100" w:before="100"/>
        <w:jc w:val="center"/>
      </w:pPr>
      <w:r>
        <w:rPr>
          <w:rFonts w:ascii="Yu Mincho" w:cs="Yu Mincho" w:eastAsia="Yu Mincho" w:hAnsi="Yu Mincho"/>
          <w:color w:val="C9A24A"/>
          <w:sz w:val="20"/>
          <w:szCs w:val="20"/>
        </w:rPr>
        <w:t xml:space="preserve">⸻</w:t>
      </w:r>
    </w:p>
    <w:p>
      <w:pPr>
        <w:spacing w:after="200" w:line="340"/>
      </w:pPr>
      <w:r>
        <w:rPr>
          <w:rFonts w:ascii="Yu Mincho" w:cs="Yu Mincho" w:eastAsia="Yu Mincho" w:hAnsi="Yu Mincho"/>
          <w:b/>
          <w:bCs/>
          <w:color w:val="C9A24A"/>
          <w:sz w:val="22"/>
          <w:szCs w:val="22"/>
        </w:rPr>
        <w:t xml:space="preserve">Dewey Ch.1 ── 認知玉 Ver.1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
「経験は認知玉になり得るか」を起点に精読開始。認知玉＝観測の仕方によって姿を現す単位、という定義に到達（観測ログ#001〜#009）。</w:t>
      </w:r>
    </w:p>
    <w:p>
      <w:pPr>
        <w:spacing w:after="100" w:before="100"/>
        <w:jc w:val="center"/>
      </w:pPr>
      <w:r>
        <w:rPr>
          <w:rFonts w:ascii="Yu Mincho" w:cs="Yu Mincho" w:eastAsia="Yu Mincho" w:hAnsi="Yu Mincho"/>
          <w:color w:val="C9A24A"/>
          <w:sz w:val="20"/>
          <w:szCs w:val="20"/>
        </w:rPr>
        <w:t xml:space="preserve">⸻</w:t>
      </w:r>
    </w:p>
    <w:p>
      <w:pPr>
        <w:spacing w:after="200" w:line="340"/>
      </w:pPr>
      <w:r>
        <w:rPr>
          <w:rFonts w:ascii="Yu Mincho" w:cs="Yu Mincho" w:eastAsia="Yu Mincho" w:hAnsi="Yu Mincho"/>
          <w:b/>
          <w:bCs/>
          <w:color w:val="C9A24A"/>
          <w:sz w:val="22"/>
          <w:szCs w:val="22"/>
        </w:rPr>
        <w:t xml:space="preserve">Dewey Ch.2 ── 錨の発見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
「場を保持する人自身は何に支えられるか」という問いから、錨（小学校の学級委員の原体験、#018）が発見される。頷き→笑顔→話し始めという身体的シーケンス（#022〜034）。実践者の持続可能性が設計対象に加わる（設計仮説#007、#035〜036）。</w:t>
      </w:r>
    </w:p>
    <w:p>
      <w:pPr>
        <w:spacing w:after="100" w:before="100"/>
        <w:jc w:val="center"/>
      </w:pPr>
      <w:r>
        <w:rPr>
          <w:rFonts w:ascii="Yu Mincho" w:cs="Yu Mincho" w:eastAsia="Yu Mincho" w:hAnsi="Yu Mincho"/>
          <w:color w:val="C9A24A"/>
          <w:sz w:val="20"/>
          <w:szCs w:val="20"/>
        </w:rPr>
        <w:t xml:space="preserve">⸻</w:t>
      </w:r>
    </w:p>
    <w:p>
      <w:pPr>
        <w:spacing w:after="200" w:line="340"/>
      </w:pPr>
      <w:r>
        <w:rPr>
          <w:rFonts w:ascii="Yu Mincho" w:cs="Yu Mincho" w:eastAsia="Yu Mincho" w:hAnsi="Yu Mincho"/>
          <w:b/>
          <w:bCs/>
          <w:color w:val="C9A24A"/>
          <w:sz w:val="22"/>
          <w:szCs w:val="22"/>
        </w:rPr>
        <w:t xml:space="preserve">Dewey Ch.3 ── マーブル仮説の誕生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
「1とは何か」という問いへの答えとして、マーブル仮説が立ち上がる（#041〜046）。認知玉の定義がVer.3（ゆらぎの存在証明）へ更新される最も重要な転換点。</w:t>
      </w:r>
    </w:p>
    <w:p>
      <w:pPr>
        <w:spacing w:after="100" w:before="100"/>
        <w:jc w:val="center"/>
      </w:pPr>
      <w:r>
        <w:rPr>
          <w:rFonts w:ascii="Yu Mincho" w:cs="Yu Mincho" w:eastAsia="Yu Mincho" w:hAnsi="Yu Mincho"/>
          <w:color w:val="C9A24A"/>
          <w:sz w:val="20"/>
          <w:szCs w:val="20"/>
        </w:rPr>
        <w:t xml:space="preserve">⸻</w:t>
      </w:r>
    </w:p>
    <w:p>
      <w:pPr>
        <w:spacing w:after="200" w:line="340"/>
      </w:pPr>
      <w:r>
        <w:rPr>
          <w:rFonts w:ascii="Yu Mincho" w:cs="Yu Mincho" w:eastAsia="Yu Mincho" w:hAnsi="Yu Mincho"/>
          <w:b/>
          <w:bCs/>
          <w:color w:val="C9A24A"/>
          <w:sz w:val="22"/>
          <w:szCs w:val="22"/>
        </w:rPr>
        <w:t xml:space="preserve">Dewey Ch.4 ── 手段と目的を分けない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
「その2つで分類分けはしない」という現場の一言が、Deweyの理論的到達点をむしろ超えていたことが判明（#047〜051）。設計仮説#008が生まれ、後に修正版へ。</w:t>
      </w:r>
    </w:p>
    <w:p>
      <w:pPr>
        <w:spacing w:after="100" w:before="100"/>
        <w:jc w:val="center"/>
      </w:pPr>
      <w:r>
        <w:rPr>
          <w:rFonts w:ascii="Yu Mincho" w:cs="Yu Mincho" w:eastAsia="Yu Mincho" w:hAnsi="Yu Mincho"/>
          <w:color w:val="C9A24A"/>
          <w:sz w:val="20"/>
          <w:szCs w:val="20"/>
        </w:rPr>
        <w:t xml:space="preserve">⸻</w:t>
      </w:r>
    </w:p>
    <w:p>
      <w:pPr>
        <w:spacing w:after="200" w:line="340"/>
      </w:pPr>
      <w:r>
        <w:rPr>
          <w:rFonts w:ascii="Yu Mincho" w:cs="Yu Mincho" w:eastAsia="Yu Mincho" w:hAnsi="Yu Mincho"/>
          <w:b/>
          <w:bCs/>
          <w:color w:val="C9A24A"/>
          <w:sz w:val="22"/>
          <w:szCs w:val="22"/>
        </w:rPr>
        <w:t xml:space="preserve">Dewey Ch.5 ── 頷きの理論的裏付け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
原典との直接対応が連続して見つかる章。「to understand is to anticipate together」が頷きの構造と一致（#052）。consummatory/instrumentalの同時存在（#054）が設計仮説#008の理論的根拠になる。</w:t>
      </w:r>
    </w:p>
    <w:p>
      <w:pPr>
        <w:spacing w:after="100" w:before="100"/>
        <w:jc w:val="center"/>
      </w:pPr>
      <w:r>
        <w:rPr>
          <w:rFonts w:ascii="Yu Mincho" w:cs="Yu Mincho" w:eastAsia="Yu Mincho" w:hAnsi="Yu Mincho"/>
          <w:color w:val="C9A24A"/>
          <w:sz w:val="20"/>
          <w:szCs w:val="20"/>
        </w:rPr>
        <w:t xml:space="preserve">⸻</w:t>
      </w:r>
    </w:p>
    <w:p>
      <w:pPr>
        <w:spacing w:after="200" w:line="340"/>
      </w:pPr>
      <w:r>
        <w:rPr>
          <w:rFonts w:ascii="Yu Mincho" w:cs="Yu Mincho" w:eastAsia="Yu Mincho" w:hAnsi="Yu Mincho"/>
          <w:b/>
          <w:bCs/>
          <w:color w:val="C9A24A"/>
          <w:sz w:val="22"/>
          <w:szCs w:val="22"/>
        </w:rPr>
        <w:t xml:space="preserve">Dewey Ch.6〜7 ── 錨の正体、心と身体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
心は「既存の秩序を新しく再構成する作用主体」（#056）。断絶に直面した個人の三つの道（降伏／孤立／再構成）のうち、③でのみ知性が生まれる（#059、dissolving mindの意味確定）。mind-body論がVarelaの先駆であることが分かる（#060〜061）。</w:t>
      </w:r>
    </w:p>
    <w:p>
      <w:pPr>
        <w:spacing w:after="100" w:before="100"/>
        <w:jc w:val="center"/>
      </w:pPr>
      <w:r>
        <w:rPr>
          <w:rFonts w:ascii="Yu Mincho" w:cs="Yu Mincho" w:eastAsia="Yu Mincho" w:hAnsi="Yu Mincho"/>
          <w:color w:val="C9A24A"/>
          <w:sz w:val="20"/>
          <w:szCs w:val="20"/>
        </w:rPr>
        <w:t xml:space="preserve">⸻</w:t>
      </w:r>
    </w:p>
    <w:p>
      <w:pPr>
        <w:spacing w:after="200" w:line="340"/>
      </w:pPr>
      <w:r>
        <w:rPr>
          <w:rFonts w:ascii="Yu Mincho" w:cs="Yu Mincho" w:eastAsia="Yu Mincho" w:hAnsi="Yu Mincho"/>
          <w:b/>
          <w:bCs/>
          <w:color w:val="C9A24A"/>
          <w:sz w:val="22"/>
          <w:szCs w:val="22"/>
        </w:rPr>
        <w:t xml:space="preserve">Dewey Ch.8〜9 ── 収束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
自己を知ることは他者を知ることと不可分（#062）。「意識はドラマである」（#066）。唯一性の再現性への直接的な原典回答（#068）。enjoyed/enjoyableの区別（#070）。方法と手段に目的と同じ重みを置くという最終提言（#071）── これが観測ログ#048への、Dewey自身による回答になる。</w:t>
      </w:r>
    </w:p>
    <w:p>
      <w:pPr>
        <w:spacing w:after="100" w:before="100"/>
        <w:jc w:val="center"/>
      </w:pPr>
      <w:r>
        <w:rPr>
          <w:rFonts w:ascii="Yu Mincho" w:cs="Yu Mincho" w:eastAsia="Yu Mincho" w:hAnsi="Yu Mincho"/>
          <w:color w:val="C9A24A"/>
          <w:sz w:val="20"/>
          <w:szCs w:val="20"/>
        </w:rPr>
        <w:t xml:space="preserve">⸻</w:t>
      </w:r>
    </w:p>
    <w:p>
      <w:pPr>
        <w:spacing w:after="200" w:line="340"/>
      </w:pPr>
      <w:r>
        <w:rPr>
          <w:rFonts w:ascii="Yu Mincho" w:cs="Yu Mincho" w:eastAsia="Yu Mincho" w:hAnsi="Yu Mincho"/>
          <w:b/>
          <w:bCs/>
          <w:color w:val="C9A24A"/>
          <w:sz w:val="22"/>
          <w:szCs w:val="22"/>
        </w:rPr>
        <w:t xml:space="preserve">Weick期 ── 崩壊の分析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
Mann Gulch（#074）とBhopal（#078）の分析が、慣習にしがみつく現場の構造と一致することを確認。plausibility（もっともらしさ）がゆらぎの全面肯定と構造的に近いことが分かる（#073）。</w:t>
      </w:r>
    </w:p>
    <w:p>
      <w:pPr>
        <w:spacing w:after="100" w:before="100"/>
        <w:jc w:val="center"/>
      </w:pPr>
      <w:r>
        <w:rPr>
          <w:rFonts w:ascii="Yu Mincho" w:cs="Yu Mincho" w:eastAsia="Yu Mincho" w:hAnsi="Yu Mincho"/>
          <w:color w:val="C9A24A"/>
          <w:sz w:val="20"/>
          <w:szCs w:val="20"/>
        </w:rPr>
        <w:t xml:space="preserve">⸻</w:t>
      </w:r>
    </w:p>
    <w:p>
      <w:pPr>
        <w:spacing w:after="200" w:line="340"/>
      </w:pPr>
      <w:r>
        <w:rPr>
          <w:rFonts w:ascii="Yu Mincho" w:cs="Yu Mincho" w:eastAsia="Yu Mincho" w:hAnsi="Yu Mincho"/>
          <w:b/>
          <w:bCs/>
          <w:color w:val="C9A24A"/>
          <w:sz w:val="22"/>
          <w:szCs w:val="22"/>
        </w:rPr>
        <w:t xml:space="preserve">Varela期 ── 構造的カップリングと道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
錨の共鳴がstructural couplingとして精密に記述される（#081〜082）。「歩くことで道を敷く」がUQ-028（勾玉と道の緊張）を解消し、設計仮説#009を生む（#083〜086）。</w:t>
      </w:r>
    </w:p>
    <w:p>
      <w:pPr>
        <w:spacing w:after="100" w:before="100"/>
        <w:jc w:val="center"/>
      </w:pPr>
      <w:r>
        <w:rPr>
          <w:rFonts w:ascii="Yu Mincho" w:cs="Yu Mincho" w:eastAsia="Yu Mincho" w:hAnsi="Yu Mincho"/>
          <w:color w:val="C9A24A"/>
          <w:sz w:val="20"/>
          <w:szCs w:val="20"/>
        </w:rPr>
        <w:t xml:space="preserve">⸻</w:t>
      </w:r>
    </w:p>
    <w:p>
      <w:pPr>
        <w:spacing w:after="200" w:line="340"/>
      </w:pPr>
      <w:r>
        <w:rPr>
          <w:rFonts w:ascii="Yu Mincho" w:cs="Yu Mincho" w:eastAsia="Yu Mincho" w:hAnsi="Yu Mincho"/>
          <w:b/>
          <w:bCs/>
          <w:color w:val="C9A24A"/>
          <w:sz w:val="22"/>
          <w:szCs w:val="22"/>
        </w:rPr>
        <w:t xml:space="preserve">Nonaka期 ── 西田幾多郎への接続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
Baが西田幾多郎の「場所」に由来することを検証（UQ-029解消、#090〜092）。「場を保持する」実践が、西洋（Dewey/Varela）だけでなく国内哲学からも独立に裏付けられる。</w:t>
      </w:r>
    </w:p>
    <w:p>
      <w:pPr>
        <w:spacing w:after="100" w:before="100"/>
        <w:jc w:val="center"/>
      </w:pPr>
      <w:r>
        <w:rPr>
          <w:rFonts w:ascii="Yu Mincho" w:cs="Yu Mincho" w:eastAsia="Yu Mincho" w:hAnsi="Yu Mincho"/>
          <w:color w:val="C9A24A"/>
          <w:sz w:val="20"/>
          <w:szCs w:val="20"/>
        </w:rPr>
        <w:t xml:space="preserve">⸻</w:t>
      </w:r>
    </w:p>
    <w:p>
      <w:pPr>
        <w:spacing w:after="200" w:line="340"/>
      </w:pPr>
      <w:r>
        <w:rPr>
          <w:rFonts w:ascii="Yu Mincho" w:cs="Yu Mincho" w:eastAsia="Yu Mincho" w:hAnsi="Yu Mincho"/>
          <w:b/>
          <w:bCs/>
          <w:color w:val="C9A24A"/>
          <w:sz w:val="22"/>
          <w:szCs w:val="22"/>
        </w:rPr>
        <w:t xml:space="preserve">Latour期 ── 社会は動詞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
「社会的」は材質ではなく組み立ての過程（#093）。研究方法論自体がすでにANT的だったことが判明（#094）。非人間アクター概念が、実際のツール（GeoJSON/Leaflet）に接続する（#095）。</w:t>
      </w:r>
    </w:p>
    <w:p>
      <w:pPr>
        <w:spacing w:after="100" w:before="100"/>
        <w:jc w:val="center"/>
      </w:pPr>
      <w:r>
        <w:rPr>
          <w:rFonts w:ascii="Yu Mincho" w:cs="Yu Mincho" w:eastAsia="Yu Mincho" w:hAnsi="Yu Mincho"/>
          <w:color w:val="C9A24A"/>
          <w:sz w:val="20"/>
          <w:szCs w:val="20"/>
        </w:rPr>
        <w:t xml:space="preserve">⸻</w:t>
      </w:r>
    </w:p>
    <w:p>
      <w:pPr>
        <w:spacing w:after="200" w:line="340"/>
      </w:pPr>
      <w:r>
        <w:rPr>
          <w:rFonts w:ascii="Yu Mincho" w:cs="Yu Mincho" w:eastAsia="Yu Mincho" w:hAnsi="Yu Mincho"/>
          <w:b/>
          <w:bCs/>
          <w:color w:val="C9A24A"/>
          <w:sz w:val="22"/>
          <w:szCs w:val="22"/>
        </w:rPr>
        <w:t xml:space="preserve">最終収束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
5人の系譜が一巡し、MAGA-TAMAは「理論の手前」ではなく「理論が向かう先（art）」という位置づけに至る（UQ-026、#097）。「続編はあるが一度収束すべき」という感触が、この巻自体の構造として実演される（UQ-032、#098〜099、設計仮説#010）。</w:t>
      </w:r>
    </w:p>
    <w:sectPr>
      <w:pgSz w:w="11907" w:h="16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Yu Mincho" w:hAnsi="Yu Mincho"/>
        <w:color w:val="EAE3D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2026-07-06T03:11:45.894Z</dcterms:created>
  <dcterms:modified xsi:type="dcterms:W3CDTF">2026-07-06T03:11:45.908Z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