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A0A08"/>
  <w:body>
    <w:p/>
    <w:p/>
    <w:p/>
    <w:p/>
    <w:p/>
    <w:p/>
    <w:p>
      <w:pPr>
        <w:spacing w:after="120"/>
        <w:jc w:val="center"/>
      </w:pPr>
      <w:r>
        <w:rPr>
          <w:rFonts w:ascii="Yu Mincho" w:cs="Yu Mincho" w:eastAsia="Yu Mincho" w:hAnsi="Yu Mincho"/>
          <w:b/>
          <w:bCs/>
          <w:i w:val="false"/>
          <w:iCs w:val="false"/>
          <w:color w:val="C9A24A"/>
          <w:sz w:val="32"/>
          <w:szCs w:val="32"/>
        </w:rPr>
        <w:t xml:space="preserve">MAGA Project Constitution</w:t>
      </w:r>
    </w:p>
    <w:p>
      <w:pPr>
        <w:spacing w:after="120"/>
        <w:jc w:val="center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B8AF9C"/>
          <w:sz w:val="24"/>
          <w:szCs w:val="24"/>
        </w:rPr>
        <w:t xml:space="preserve">Living Constitution — Phase 3</w:t>
      </w:r>
    </w:p>
    <w:p/>
    <w:p>
      <w:pPr>
        <w:spacing w:after="120"/>
        <w:jc w:val="center"/>
      </w:pPr>
      <w:r>
        <w:rPr>
          <w:rFonts w:ascii="Yu Mincho" w:cs="Yu Mincho" w:eastAsia="Yu Mincho" w:hAnsi="Yu Mincho"/>
          <w:b w:val="false"/>
          <w:bCs w:val="false"/>
          <w:i/>
          <w:iCs/>
          <w:color w:val="EAE3D3"/>
          <w:sz w:val="15"/>
          <w:szCs w:val="15"/>
        </w:rPr>
        <w:t xml:space="preserve">Batch 3：Future Cards ／ 編集メモ ／ 思考ログ ／ Version History</w:t>
      </w:r>
    </w:p>
    <w:p/>
    <w:p/>
    <w:p/>
    <w:p/>
    <w:p/>
    <w:p/>
    <w:p>
      <w:pPr>
        <w:spacing w:after="120"/>
        <w:jc w:val="center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B8AF9C"/>
          <w:sz w:val="16"/>
          <w:szCs w:val="16"/>
        </w:rPr>
        <w:t xml:space="preserve">2026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Yu Mincho" w:cs="Yu Mincho" w:eastAsia="Yu Mincho" w:hAnsi="Yu Mincho"/>
          <w:b/>
          <w:bCs/>
          <w:color w:val="C9A24A"/>
          <w:sz w:val="34"/>
          <w:szCs w:val="34"/>
        </w:rPr>
        <w:t xml:space="preserve">Future Cards</w:t>
      </w:r>
    </w:p>
    <w:p>
      <w:pPr>
        <w:spacing w:after="160" w:line="340"/>
      </w:pPr>
      <w:r>
        <w:rPr>
          <w:rFonts w:ascii="Yu Mincho" w:cs="Yu Mincho" w:eastAsia="Yu Mincho" w:hAnsi="Yu Mincho"/>
          <w:b w:val="false"/>
          <w:bCs w:val="false"/>
          <w:i/>
          <w:iCs/>
          <w:color w:val="EAE3D3"/>
          <w:sz w:val="21"/>
          <w:szCs w:val="21"/>
        </w:rPr>
        <w:t xml:space="preserve">Core20の中で「名前だけ登場して本体がない」カードと、勾玉図鑑が示唆する「まだ無い候補」を分けて記録する。</w:t>
      </w:r>
    </w:p>
    <w:p>
      <w:pPr>
        <w:spacing w:after="100" w:before="100"/>
        <w:jc w:val="center"/>
      </w:pPr>
      <w:r>
        <w:rPr>
          <w:rFonts w:ascii="Yu Mincho" w:cs="Yu Mincho" w:eastAsia="Yu Mincho" w:hAnsi="Yu Mincho"/>
          <w:color w:val="C9A24A"/>
          <w:sz w:val="20"/>
          <w:szCs w:val="20"/>
        </w:rPr>
        <w:t xml:space="preserve">⸻</w:t>
      </w:r>
    </w:p>
    <w:p>
      <w:pPr>
        <w:pStyle w:val="Heading2"/>
        <w:spacing w:after="140" w:before="240"/>
      </w:pPr>
      <w:r>
        <w:rPr>
          <w:rFonts w:ascii="Yu Mincho" w:cs="Yu Mincho" w:eastAsia="Yu Mincho" w:hAnsi="Yu Mincho"/>
          <w:b/>
          <w:bCs/>
          <w:color w:val="C9A24A"/>
          <w:sz w:val="24"/>
          <w:szCs w:val="24"/>
        </w:rPr>
        <w:t xml:space="preserve">未執筆の参照（Related Cardsにのみ存在）</w:t>
      </w:r>
    </w:p>
    <w:p>
      <w:pPr>
        <w:spacing w:after="200" w:line="340"/>
      </w:pPr>
      <w:r>
        <w:rPr>
          <w:rFonts w:ascii="Yu Mincho" w:cs="Yu Mincho" w:eastAsia="Yu Mincho" w:hAnsi="Yu Mincho"/>
          <w:b/>
          <w:bCs/>
          <w:color w:val="C9A24A"/>
          <w:sz w:val="21"/>
          <w:szCs w:val="21"/>
        </w:rPr>
        <w:t xml:space="preserve">UR-0005｜都市意思決定</w:t>
      </w:r>
      <w:r>
        <w:rPr>
          <w:rFonts w:ascii="Yu Mincho" w:cs="Yu Mincho" w:eastAsia="Yu Mincho" w:hAnsi="Yu Mincho"/>
          <w:color w:val="EAE3D3"/>
          <w:sz w:val="21"/>
          <w:szCs w:val="21"/>
        </w:rPr>
        <w:t xml:space="preserve">　RS-0003、RS-0004、PD-0001など複数のカードから参照されているが、本体は一度も書かれていない。UR-0002とUR-0003の間、「都市スケールでの意思決定プロセスそのもの」を扱う枠として構想されていた可能性がある。</w:t>
      </w:r>
    </w:p>
    <w:p>
      <w:pPr>
        <w:spacing w:after="200" w:line="340"/>
      </w:pPr>
      <w:r>
        <w:rPr>
          <w:rFonts w:ascii="Yu Mincho" w:cs="Yu Mincho" w:eastAsia="Yu Mincho" w:hAnsi="Yu Mincho"/>
          <w:b/>
          <w:bCs/>
          <w:color w:val="C9A24A"/>
          <w:sz w:val="21"/>
          <w:szCs w:val="21"/>
        </w:rPr>
        <w:t xml:space="preserve">MK-0001｜Decision Intelligence Market</w:t>
      </w:r>
      <w:r>
        <w:rPr>
          <w:rFonts w:ascii="Yu Mincho" w:cs="Yu Mincho" w:eastAsia="Yu Mincho" w:hAnsi="Yu Mincho"/>
          <w:color w:val="EAE3D3"/>
          <w:sz w:val="21"/>
          <w:szCs w:val="21"/>
        </w:rPr>
        <w:t xml:space="preserve">　RS-0005とBS-0001から参照。BS-0001（Market Landscape）と内容が重なる可能性が高く、独立カードとして必要かは要検討。</w:t>
      </w:r>
    </w:p>
    <w:p>
      <w:pPr>
        <w:spacing w:after="200" w:line="340"/>
      </w:pPr>
      <w:r>
        <w:rPr>
          <w:rFonts w:ascii="Yu Mincho" w:cs="Yu Mincho" w:eastAsia="Yu Mincho" w:hAnsi="Yu Mincho"/>
          <w:b/>
          <w:bCs/>
          <w:color w:val="C9A24A"/>
          <w:sz w:val="21"/>
          <w:szCs w:val="21"/>
        </w:rPr>
        <w:t xml:space="preserve">PJ-0001｜Project Roadmap</w:t>
      </w:r>
      <w:r>
        <w:rPr>
          <w:rFonts w:ascii="Yu Mincho" w:cs="Yu Mincho" w:eastAsia="Yu Mincho" w:hAnsi="Yu Mincho"/>
          <w:color w:val="EAE3D3"/>
          <w:sz w:val="21"/>
          <w:szCs w:val="21"/>
        </w:rPr>
        <w:t xml:space="preserve">　PH-0002から一度だけ参照。Core20の20枚には含まれず、別体系（ロードマップ・進行管理）として扱われていた可能性がある。</w:t>
      </w:r>
    </w:p>
    <w:p>
      <w:pPr>
        <w:spacing w:after="160" w:line="340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1"/>
          <w:szCs w:val="21"/>
        </w:rPr>
        <w:t xml:space="preserve">これら3枚は、無理に埋めるべきものではない。研究憲章の原則（わからないことは「わからない」と書く）に沿って、「存在しない」という事実そのものを記録しておく。</w:t>
      </w:r>
    </w:p>
    <w:p>
      <w:pPr>
        <w:spacing w:after="100" w:before="100"/>
        <w:jc w:val="center"/>
      </w:pPr>
      <w:r>
        <w:rPr>
          <w:rFonts w:ascii="Yu Mincho" w:cs="Yu Mincho" w:eastAsia="Yu Mincho" w:hAnsi="Yu Mincho"/>
          <w:color w:val="C9A24A"/>
          <w:sz w:val="20"/>
          <w:szCs w:val="20"/>
        </w:rPr>
        <w:t xml:space="preserve">⸻</w:t>
      </w:r>
    </w:p>
    <w:p>
      <w:pPr>
        <w:pStyle w:val="Heading2"/>
        <w:spacing w:after="140" w:before="240"/>
      </w:pPr>
      <w:r>
        <w:rPr>
          <w:rFonts w:ascii="Yu Mincho" w:cs="Yu Mincho" w:eastAsia="Yu Mincho" w:hAnsi="Yu Mincho"/>
          <w:b/>
          <w:bCs/>
          <w:color w:val="C9A24A"/>
          <w:sz w:val="24"/>
          <w:szCs w:val="24"/>
        </w:rPr>
        <w:t xml:space="preserve">研究ノートが示唆する、まだ無い候補</w:t>
      </w:r>
    </w:p>
    <w:p>
      <w:pPr>
        <w:spacing w:after="200" w:line="340"/>
      </w:pPr>
      <w:r>
        <w:rPr>
          <w:rFonts w:ascii="Yu Mincho" w:cs="Yu Mincho" w:eastAsia="Yu Mincho" w:hAnsi="Yu Mincho"/>
          <w:b/>
          <w:bCs/>
          <w:color w:val="C9A24A"/>
          <w:sz w:val="21"/>
          <w:szCs w:val="21"/>
        </w:rPr>
        <w:t xml:space="preserve">縁人（えんじん）という概念自体のカード化</w:t>
      </w:r>
      <w:r>
        <w:rPr>
          <w:rFonts w:ascii="Yu Mincho" w:cs="Yu Mincho" w:eastAsia="Yu Mincho" w:hAnsi="Yu Mincho"/>
          <w:color w:val="EAE3D3"/>
          <w:sz w:val="21"/>
          <w:szCs w:val="21"/>
        </w:rPr>
        <w:t xml:space="preserve">　現在Glossaryに用語として存在するが、Core20のどのカードにも正式な居場所がない。UR-0001かPH-0002のどちらかに接続する形で、独立カード化する余地がある。</w:t>
      </w:r>
    </w:p>
    <w:p>
      <w:pPr>
        <w:spacing w:after="200" w:line="340"/>
      </w:pPr>
      <w:r>
        <w:rPr>
          <w:rFonts w:ascii="Yu Mincho" w:cs="Yu Mincho" w:eastAsia="Yu Mincho" w:hAnsi="Yu Mincho"/>
          <w:b/>
          <w:bCs/>
          <w:color w:val="C9A24A"/>
          <w:sz w:val="21"/>
          <w:szCs w:val="21"/>
        </w:rPr>
        <w:t xml:space="preserve">唯一性の再現性という問い自体のカード化</w:t>
      </w:r>
      <w:r>
        <w:rPr>
          <w:rFonts w:ascii="Yu Mincho" w:cs="Yu Mincho" w:eastAsia="Yu Mincho" w:hAnsi="Yu Mincho"/>
          <w:color w:val="EAE3D3"/>
          <w:sz w:val="21"/>
          <w:szCs w:val="21"/>
        </w:rPr>
        <w:t xml:space="preserve">　研究全体を貫く「問い」そのものであるにもかかわらず、PH層のどのカードにも明示的に定義されていない。PH-0006として独立させるか、PH-0001の中に統合するか、判断が必要。</w:t>
      </w:r>
    </w:p>
    <w:p>
      <w:pPr>
        <w:spacing w:after="160" w:line="340"/>
      </w:pPr>
      <w:r>
        <w:rPr>
          <w:rFonts w:ascii="Yu Mincho" w:cs="Yu Mincho" w:eastAsia="Yu Mincho" w:hAnsi="Yu Mincho"/>
          <w:b w:val="false"/>
          <w:bCs w:val="false"/>
          <w:i/>
          <w:iCs/>
          <w:color w:val="EAE3D3"/>
          <w:sz w:val="21"/>
          <w:szCs w:val="21"/>
        </w:rPr>
        <w:t xml:space="preserve">これは提案であり、決定ではない。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Yu Mincho" w:cs="Yu Mincho" w:eastAsia="Yu Mincho" w:hAnsi="Yu Mincho"/>
          <w:b/>
          <w:bCs/>
          <w:color w:val="C9A24A"/>
          <w:sz w:val="34"/>
          <w:szCs w:val="34"/>
        </w:rPr>
        <w:t xml:space="preserve">編集メモ</w:t>
      </w:r>
    </w:p>
    <w:p>
      <w:pPr>
        <w:spacing w:after="160" w:line="340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1"/>
          <w:szCs w:val="21"/>
        </w:rPr>
        <w:t xml:space="preserve">このプロジェクトを編集していて、最後に一つ、はっきりさせておくべきことがある。</w:t>
      </w:r>
    </w:p>
    <w:p>
      <w:pPr>
        <w:spacing w:after="160" w:line="340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1"/>
          <w:szCs w:val="21"/>
        </w:rPr>
        <w:t xml:space="preserve">Front Matterで「削除は推奨されない、追加が既定の方法」と書いた。今回の編集作業全体が、その原則を実地でなぞる形になった。PH-0003もPD-0002も、v0.1を消さずにv0.2を重ねた。UR-0005やMK-0001のように「無い」と分かったものも、埋めずにそのまま記録した。これは偶然ではなく、研究憲章がそもそもこのやり方を要求していたからである。</w:t>
      </w:r>
    </w:p>
    <w:p>
      <w:pPr>
        <w:spacing w:after="100" w:before="100"/>
        <w:jc w:val="center"/>
      </w:pPr>
      <w:r>
        <w:rPr>
          <w:rFonts w:ascii="Yu Mincho" w:cs="Yu Mincho" w:eastAsia="Yu Mincho" w:hAnsi="Yu Mincho"/>
          <w:color w:val="C9A24A"/>
          <w:sz w:val="20"/>
          <w:szCs w:val="20"/>
        </w:rPr>
        <w:t xml:space="preserve">⸻</w:t>
      </w:r>
    </w:p>
    <w:p>
      <w:pPr>
        <w:spacing w:after="160" w:line="340"/>
      </w:pPr>
      <w:r>
        <w:rPr>
          <w:rFonts w:ascii="Yu Mincho" w:cs="Yu Mincho" w:eastAsia="Yu Mincho" w:hAnsi="Yu Mincho"/>
          <w:b w:val="false"/>
          <w:bCs w:val="false"/>
          <w:i/>
          <w:iCs/>
          <w:color w:val="EAE3D3"/>
          <w:sz w:val="21"/>
          <w:szCs w:val="21"/>
        </w:rPr>
        <w:t xml:space="preserve">もう一つ、正直に残しておくべき緊張がある。Cognitive Circuitの%表示（インサイト）と、マーブル仮説（平均化しない）の間にある矛盾は、今回何度も登場したが、一度も解消していない。これは編集の失敗ではなく、意図的な保留である。無理に統合すると、どちらかの概念が歪む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Yu Mincho" w:cs="Yu Mincho" w:eastAsia="Yu Mincho" w:hAnsi="Yu Mincho"/>
          <w:b/>
          <w:bCs/>
          <w:color w:val="C9A24A"/>
          <w:sz w:val="34"/>
          <w:szCs w:val="34"/>
        </w:rPr>
        <w:t xml:space="preserve">思考ログ</w:t>
      </w:r>
    </w:p>
    <w:p>
      <w:pPr>
        <w:spacing w:after="160" w:line="340"/>
      </w:pPr>
      <w:r>
        <w:rPr>
          <w:rFonts w:ascii="Yu Mincho" w:cs="Yu Mincho" w:eastAsia="Yu Mincho" w:hAnsi="Yu Mincho"/>
          <w:b w:val="false"/>
          <w:bCs w:val="false"/>
          <w:i/>
          <w:iCs/>
          <w:color w:val="EAE3D3"/>
          <w:sz w:val="21"/>
          <w:szCs w:val="21"/>
        </w:rPr>
        <w:t xml:space="preserve">研究ノートの手法（観測ログ形式）を、この編集セッション自体に適用する。</w:t>
      </w:r>
    </w:p>
    <w:p>
      <w:pPr>
        <w:spacing w:after="100" w:before="100"/>
        <w:jc w:val="center"/>
      </w:pPr>
      <w:r>
        <w:rPr>
          <w:rFonts w:ascii="Yu Mincho" w:cs="Yu Mincho" w:eastAsia="Yu Mincho" w:hAnsi="Yu Mincho"/>
          <w:color w:val="C9A24A"/>
          <w:sz w:val="20"/>
          <w:szCs w:val="20"/>
        </w:rPr>
        <w:t xml:space="preserve">⸻</w:t>
      </w:r>
    </w:p>
    <w:p>
      <w:pPr>
        <w:spacing w:after="200" w:line="340"/>
      </w:pPr>
      <w:r>
        <w:rPr>
          <w:rFonts w:ascii="Yu Mincho" w:cs="Yu Mincho" w:eastAsia="Yu Mincho" w:hAnsi="Yu Mincho"/>
          <w:b/>
          <w:bCs/>
          <w:color w:val="C9A24A"/>
          <w:sz w:val="21"/>
          <w:szCs w:val="21"/>
        </w:rPr>
        <w:t xml:space="preserve">#E01</w:t>
      </w:r>
      <w:r>
        <w:rPr>
          <w:rFonts w:ascii="Yu Mincho" w:cs="Yu Mincho" w:eastAsia="Yu Mincho" w:hAnsi="Yu Mincho"/>
          <w:color w:val="EAE3D3"/>
          <w:sz w:val="21"/>
          <w:szCs w:val="21"/>
        </w:rPr>
        <w:t xml:space="preserve">　Front Matterを先に閉じてからPhase 2に進むという判断は、「動いている文書を同時に2つ持たない」という単純な原則から来ていた。これは研究ノートのどの理論からも借りていない、編集実務上の判断。</w:t>
      </w:r>
    </w:p>
    <w:p>
      <w:pPr>
        <w:spacing w:after="200" w:line="340"/>
      </w:pPr>
      <w:r>
        <w:rPr>
          <w:rFonts w:ascii="Yu Mincho" w:cs="Yu Mincho" w:eastAsia="Yu Mincho" w:hAnsi="Yu Mincho"/>
          <w:b/>
          <w:bCs/>
          <w:color w:val="C9A24A"/>
          <w:sz w:val="21"/>
          <w:szCs w:val="21"/>
        </w:rPr>
        <w:t xml:space="preserve">#E02</w:t>
      </w:r>
      <w:r>
        <w:rPr>
          <w:rFonts w:ascii="Yu Mincho" w:cs="Yu Mincho" w:eastAsia="Yu Mincho" w:hAnsi="Yu Mincho"/>
          <w:color w:val="EAE3D3"/>
          <w:sz w:val="21"/>
          <w:szCs w:val="21"/>
        </w:rPr>
        <w:t xml:space="preserve">　勾玉図鑑をどのカードに反映するか判定した際（Tier1〜3）、BS系・MK・PJを意図的に外した。これは「学術研究を利用して思想を補強しない」という研究憲章の原則を、カード選定の基準として転用した最初の例。</w:t>
      </w:r>
    </w:p>
    <w:p>
      <w:pPr>
        <w:spacing w:after="200" w:line="340"/>
      </w:pPr>
      <w:r>
        <w:rPr>
          <w:rFonts w:ascii="Yu Mincho" w:cs="Yu Mincho" w:eastAsia="Yu Mincho" w:hAnsi="Yu Mincho"/>
          <w:b/>
          <w:bCs/>
          <w:color w:val="C9A24A"/>
          <w:sz w:val="21"/>
          <w:szCs w:val="21"/>
        </w:rPr>
        <w:t xml:space="preserve">#E03</w:t>
      </w:r>
      <w:r>
        <w:rPr>
          <w:rFonts w:ascii="Yu Mincho" w:cs="Yu Mincho" w:eastAsia="Yu Mincho" w:hAnsi="Yu Mincho"/>
          <w:color w:val="EAE3D3"/>
          <w:sz w:val="21"/>
          <w:szCs w:val="21"/>
        </w:rPr>
        <w:t xml:space="preserve">　UR-0005が実体を持たないことに気づいたのは、マージ作業でCore20全体を通しで見たときだった。個別バッチ編集をしていた間は気づけなかった。「全体を一度統合してから次に進む」という判断が正しかったことの、事後的な証拠になっている。</w:t>
      </w:r>
    </w:p>
    <w:p>
      <w:pPr>
        <w:spacing w:after="200" w:line="340"/>
      </w:pPr>
      <w:r>
        <w:rPr>
          <w:rFonts w:ascii="Yu Mincho" w:cs="Yu Mincho" w:eastAsia="Yu Mincho" w:hAnsi="Yu Mincho"/>
          <w:b/>
          <w:bCs/>
          <w:color w:val="C9A24A"/>
          <w:sz w:val="21"/>
          <w:szCs w:val="21"/>
        </w:rPr>
        <w:t xml:space="preserve">#E04</w:t>
      </w:r>
      <w:r>
        <w:rPr>
          <w:rFonts w:ascii="Yu Mincho" w:cs="Yu Mincho" w:eastAsia="Yu Mincho" w:hAnsi="Yu Mincho"/>
          <w:color w:val="EAE3D3"/>
          <w:sz w:val="21"/>
          <w:szCs w:val="21"/>
        </w:rPr>
        <w:t xml:space="preserve">　Glossaryを作る過程で「研究ノート全体を見渡してもう一度掘って」と言われたことで、enaction/enactmentのような、個別カード編集では気づけなかった混同しやすい対概念が見つかった。個別カード単位の編集と、全体を見渡す編集は、異なる種類の発見をもたらす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Yu Mincho" w:cs="Yu Mincho" w:eastAsia="Yu Mincho" w:hAnsi="Yu Mincho"/>
          <w:b/>
          <w:bCs/>
          <w:color w:val="C9A24A"/>
          <w:sz w:val="34"/>
          <w:szCs w:val="34"/>
        </w:rPr>
        <w:t xml:space="preserve">Version History（更新）</w:t>
      </w:r>
    </w:p>
    <w:tbl>
      <w:tblPr>
        <w:tblW w:type="dxa" w:w="9000"/>
        <w:tblBorders>
          <w:top w:val="single" w:color="3A3020" w:sz="2"/>
          <w:left w:val="single" w:color="3A3020" w:sz="2"/>
          <w:bottom w:val="single" w:color="3A3020" w:sz="2"/>
          <w:right w:val="single" w:color="3A3020" w:sz="2"/>
          <w:insideH w:val="single" w:color="3A3020" w:sz="2"/>
          <w:insideV w:val="single" w:color="3A3020" w:sz="2"/>
        </w:tblBorders>
      </w:tblPr>
      <w:tblGrid>
        <w:gridCol w:w="1200"/>
        <w:gridCol w:w="2200"/>
        <w:gridCol w:w="5600"/>
      </w:tblGrid>
      <w:tr>
        <w:tc>
          <w:tcPr>
            <w:tcW w:type="dxa" w:w="1200"/>
            <w:shd w:fill="1A17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9"/>
                <w:szCs w:val="19"/>
              </w:rPr>
              <w:t xml:space="preserve">Version</w:t>
            </w:r>
          </w:p>
        </w:tc>
        <w:tc>
          <w:tcPr>
            <w:tcW w:type="dxa" w:w="2200"/>
            <w:shd w:fill="1A17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9"/>
                <w:szCs w:val="19"/>
              </w:rPr>
              <w:t xml:space="preserve">Date</w:t>
            </w:r>
          </w:p>
        </w:tc>
        <w:tc>
          <w:tcPr>
            <w:tcW w:type="dxa" w:w="5600"/>
            <w:shd w:fill="1A17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200"/>
            <w:shd w:fill="0A0A0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9"/>
                <w:szCs w:val="19"/>
              </w:rPr>
              <w:t xml:space="preserve">0.1</w:t>
            </w:r>
          </w:p>
        </w:tc>
        <w:tc>
          <w:tcPr>
            <w:tcW w:type="dxa" w:w="2200"/>
            <w:shd w:fill="0A0A0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9"/>
                <w:szCs w:val="19"/>
              </w:rPr>
              <w:t xml:space="preserve">Core20開始</w:t>
            </w:r>
          </w:p>
        </w:tc>
        <w:tc>
          <w:tcPr>
            <w:tcW w:type="dxa" w:w="5600"/>
            <w:shd w:fill="0A0A0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9"/>
                <w:szCs w:val="19"/>
              </w:rPr>
              <w:t xml:space="preserve">Initial Research Cards</w:t>
            </w:r>
          </w:p>
        </w:tc>
      </w:tr>
      <w:tr>
        <w:tc>
          <w:tcPr>
            <w:tcW w:type="dxa" w:w="1200"/>
            <w:shd w:fill="0A0A0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9"/>
                <w:szCs w:val="19"/>
              </w:rPr>
              <w:t xml:space="preserve">0.5</w:t>
            </w:r>
          </w:p>
        </w:tc>
        <w:tc>
          <w:tcPr>
            <w:tcW w:type="dxa" w:w="2200"/>
            <w:shd w:fill="0A0A0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9"/>
                <w:szCs w:val="19"/>
              </w:rPr>
              <w:t xml:space="preserve">Core20完成</w:t>
            </w:r>
          </w:p>
        </w:tc>
        <w:tc>
          <w:tcPr>
            <w:tcW w:type="dxa" w:w="5600"/>
            <w:shd w:fill="0A0A0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9"/>
                <w:szCs w:val="19"/>
              </w:rPr>
              <w:t xml:space="preserve">Business・Urban領域のカード追加により適用範囲を拡張</w:t>
            </w:r>
          </w:p>
        </w:tc>
      </w:tr>
      <w:tr>
        <w:tc>
          <w:tcPr>
            <w:tcW w:type="dxa" w:w="1200"/>
            <w:shd w:fill="0A0A0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9"/>
                <w:szCs w:val="19"/>
              </w:rPr>
              <w:t xml:space="preserve">1.0</w:t>
            </w:r>
          </w:p>
        </w:tc>
        <w:tc>
          <w:tcPr>
            <w:tcW w:type="dxa" w:w="2200"/>
            <w:shd w:fill="0A0A0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9"/>
                <w:szCs w:val="19"/>
              </w:rPr>
              <w:t xml:space="preserve">Constitution Edition</w:t>
            </w:r>
          </w:p>
        </w:tc>
        <w:tc>
          <w:tcPr>
            <w:tcW w:type="dxa" w:w="5600"/>
            <w:shd w:fill="0A0A0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9"/>
                <w:szCs w:val="19"/>
              </w:rPr>
              <w:t xml:space="preserve">Front Matter新規執筆による編集的再構成。研究憲章（Preamble）をMAGA-TAMA研究ノートより一般化して統合</w:t>
            </w:r>
          </w:p>
        </w:tc>
      </w:tr>
      <w:tr>
        <w:tc>
          <w:tcPr>
            <w:tcW w:type="dxa" w:w="1200"/>
            <w:shd w:fill="0A0A0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9"/>
                <w:szCs w:val="19"/>
              </w:rPr>
              <w:t xml:space="preserve">1.1</w:t>
            </w:r>
          </w:p>
        </w:tc>
        <w:tc>
          <w:tcPr>
            <w:tcW w:type="dxa" w:w="2200"/>
            <w:shd w:fill="0A0A0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9"/>
                <w:szCs w:val="19"/>
              </w:rPr>
              <w:t xml:space="preserve">Phase 2完了</w:t>
            </w:r>
          </w:p>
        </w:tc>
        <w:tc>
          <w:tcPr>
            <w:tcW w:type="dxa" w:w="5600"/>
            <w:shd w:fill="0A0A0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9"/>
                <w:szCs w:val="19"/>
              </w:rPr>
              <w:t xml:space="preserve">勾玉図鑑（Dewey/Weick/Varela/Nonaka/Latour精読）をCore20の11枚に反映・マージ。UR-0005が未執筆の参照であることを確認・記録</w:t>
            </w:r>
          </w:p>
        </w:tc>
      </w:tr>
      <w:tr>
        <w:tc>
          <w:tcPr>
            <w:tcW w:type="dxa" w:w="1200"/>
            <w:shd w:fill="0A0A0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9"/>
                <w:szCs w:val="19"/>
              </w:rPr>
              <w:t xml:space="preserve">1.2</w:t>
            </w:r>
          </w:p>
        </w:tc>
        <w:tc>
          <w:tcPr>
            <w:tcW w:type="dxa" w:w="2200"/>
            <w:shd w:fill="0A0A0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9"/>
                <w:szCs w:val="19"/>
              </w:rPr>
              <w:t xml:space="preserve">Phase 3完了</w:t>
            </w:r>
          </w:p>
        </w:tc>
        <w:tc>
          <w:tcPr>
            <w:tcW w:type="dxa" w:w="5600"/>
            <w:shd w:fill="0A0A0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9"/>
                <w:szCs w:val="19"/>
              </w:rPr>
              <w:t xml:space="preserve">Glossary（18語）・Card Index（20枚一覧）・Research Timeline（15区間）・Future Cards（未執筆3枚＋候補2枚）を追加。Living Constitution層が確立</w:t>
            </w:r>
          </w:p>
        </w:tc>
      </w:tr>
    </w:tbl>
    <w:sectPr>
      <w:pgSz w:w="11907" w:h="16840" w:orient="portrait"/>
      <w:pgMar w:top="1350" w:right="1350" w:bottom="135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Mincho" w:cs="Yu Mincho" w:eastAsia="Yu Mincho" w:hAnsi="Yu Mincho"/>
        <w:color w:val="EAE3D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2026-07-06T03:17:59.958Z</dcterms:created>
  <dcterms:modified xsi:type="dcterms:W3CDTF">2026-07-06T03:17:59.975Z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