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0A0A08"/>
  <w:body>
    <w:p/>
    <w:p/>
    <w:p/>
    <w:p/>
    <w:p/>
    <w:p/>
    <w:p>
      <w:pPr>
        <w:spacing w:after="120"/>
        <w:jc w:val="center"/>
      </w:pPr>
      <w:r>
        <w:rPr>
          <w:rFonts w:ascii="Yu Mincho" w:cs="Yu Mincho" w:eastAsia="Yu Mincho" w:hAnsi="Yu Mincho"/>
          <w:b/>
          <w:bCs/>
          <w:i w:val="false"/>
          <w:iCs w:val="false"/>
          <w:color w:val="C9A24A"/>
          <w:sz w:val="32"/>
          <w:szCs w:val="32"/>
        </w:rPr>
        <w:t xml:space="preserve">MAGA Project Constitution</w:t>
      </w:r>
    </w:p>
    <w:p>
      <w:pPr>
        <w:spacing w:after="120"/>
        <w:jc w:val="center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B8AF9C"/>
          <w:sz w:val="24"/>
          <w:szCs w:val="24"/>
        </w:rPr>
        <w:t xml:space="preserve">Living Constitution — Phase 4</w:t>
      </w:r>
    </w:p>
    <w:p/>
    <w:p>
      <w:pPr>
        <w:spacing w:after="120"/>
        <w:jc w:val="center"/>
      </w:pPr>
      <w:r>
        <w:rPr>
          <w:rFonts w:ascii="Yu Mincho" w:cs="Yu Mincho" w:eastAsia="Yu Mincho" w:hAnsi="Yu Mincho"/>
          <w:b w:val="false"/>
          <w:bCs w:val="false"/>
          <w:i/>
          <w:iCs/>
          <w:color w:val="EAE3D3"/>
          <w:sz w:val="13"/>
          <w:szCs w:val="13"/>
        </w:rPr>
        <w:t xml:space="preserve">同時多発プロジェクトの整理／Pandemic Logic段階マップ／Glossary追加／編集メモ訂正</w:t>
      </w:r>
    </w:p>
    <w:p/>
    <w:p/>
    <w:p/>
    <w:p/>
    <w:p/>
    <w:p/>
    <w:p>
      <w:pPr>
        <w:spacing w:after="120"/>
        <w:jc w:val="center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B8AF9C"/>
          <w:sz w:val="16"/>
          <w:szCs w:val="16"/>
        </w:rPr>
        <w:t xml:space="preserve">2026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Yu Mincho" w:cs="Yu Mincho" w:eastAsia="Yu Mincho" w:hAnsi="Yu Mincho"/>
          <w:b/>
          <w:bCs/>
          <w:color w:val="C9A24A"/>
          <w:sz w:val="32"/>
          <w:szCs w:val="32"/>
        </w:rPr>
        <w:t xml:space="preserve">① Pandemic Logic 段階マップ</w:t>
      </w:r>
    </w:p>
    <w:p>
      <w:pPr>
        <w:spacing w:after="160" w:line="340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0"/>
          <w:szCs w:val="20"/>
        </w:rPr>
        <w:t xml:space="preserve">現在同時多発している5案件を、Pandemic Logic（OBSERVE→TRANSLATE→SURVIVE→INSTALL→MUTATE）の段階で整理する。</w:t>
      </w:r>
    </w:p>
    <w:tbl>
      <w:tblPr>
        <w:tblW w:type="dxa" w:w="9200"/>
        <w:tblBorders>
          <w:top w:val="single" w:color="3A3020" w:sz="2"/>
          <w:left w:val="single" w:color="3A3020" w:sz="2"/>
          <w:bottom w:val="single" w:color="3A3020" w:sz="2"/>
          <w:right w:val="single" w:color="3A3020" w:sz="2"/>
          <w:insideH w:val="single" w:color="3A3020" w:sz="2"/>
          <w:insideV w:val="single" w:color="3A3020" w:sz="2"/>
        </w:tblBorders>
      </w:tblPr>
      <w:tblGrid>
        <w:gridCol w:w="2600"/>
        <w:gridCol w:w="1300"/>
        <w:gridCol w:w="1500"/>
        <w:gridCol w:w="1300"/>
        <w:gridCol w:w="1200"/>
        <w:gridCol w:w="1300"/>
      </w:tblGrid>
      <w:tr>
        <w:tc>
          <w:tcPr>
            <w:tcW w:type="dxa" w:w="2600"/>
            <w:shd w:fill="1A171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/>
                <w:bCs/>
                <w:color w:val="C9A24A"/>
                <w:sz w:val="16"/>
                <w:szCs w:val="16"/>
              </w:rPr>
              <w:t xml:space="preserve">案件</w:t>
            </w:r>
          </w:p>
        </w:tc>
        <w:tc>
          <w:tcPr>
            <w:tcW w:type="dxa" w:w="1300"/>
            <w:shd w:fill="1A171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/>
                <w:bCs/>
                <w:color w:val="C9A24A"/>
                <w:sz w:val="16"/>
                <w:szCs w:val="16"/>
              </w:rPr>
              <w:t xml:space="preserve">OBSERVE</w:t>
            </w:r>
          </w:p>
        </w:tc>
        <w:tc>
          <w:tcPr>
            <w:tcW w:type="dxa" w:w="1500"/>
            <w:shd w:fill="1A171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/>
                <w:bCs/>
                <w:color w:val="C9A24A"/>
                <w:sz w:val="16"/>
                <w:szCs w:val="16"/>
              </w:rPr>
              <w:t xml:space="preserve">TRANSLATE</w:t>
            </w:r>
          </w:p>
        </w:tc>
        <w:tc>
          <w:tcPr>
            <w:tcW w:type="dxa" w:w="1300"/>
            <w:shd w:fill="1A171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/>
                <w:bCs/>
                <w:color w:val="C9A24A"/>
                <w:sz w:val="16"/>
                <w:szCs w:val="16"/>
              </w:rPr>
              <w:t xml:space="preserve">SURVIVE</w:t>
            </w:r>
          </w:p>
        </w:tc>
        <w:tc>
          <w:tcPr>
            <w:tcW w:type="dxa" w:w="1200"/>
            <w:shd w:fill="1A171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/>
                <w:bCs/>
                <w:color w:val="C9A24A"/>
                <w:sz w:val="16"/>
                <w:szCs w:val="16"/>
              </w:rPr>
              <w:t xml:space="preserve">INSTALL</w:t>
            </w:r>
          </w:p>
        </w:tc>
        <w:tc>
          <w:tcPr>
            <w:tcW w:type="dxa" w:w="1300"/>
            <w:shd w:fill="1A171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/>
                <w:bCs/>
                <w:color w:val="C9A24A"/>
                <w:sz w:val="16"/>
                <w:szCs w:val="16"/>
              </w:rPr>
              <w:t xml:space="preserve">MUTATE</w:t>
            </w:r>
          </w:p>
        </w:tc>
      </w:tr>
      <w:tr>
        <w:tc>
          <w:tcPr>
            <w:tcW w:type="dxa" w:w="26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6"/>
                <w:szCs w:val="16"/>
              </w:rPr>
              <w:t xml:space="preserve">ゴミ箱運用（公園）</w:t>
            </w:r>
          </w:p>
        </w:tc>
        <w:tc>
          <w:tcPr>
            <w:tcW w:type="dxa" w:w="13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6"/>
                <w:szCs w:val="16"/>
              </w:rPr>
              <w:t xml:space="preserve">済</w:t>
            </w:r>
          </w:p>
        </w:tc>
        <w:tc>
          <w:tcPr>
            <w:tcW w:type="dxa" w:w="15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6"/>
                <w:szCs w:val="16"/>
              </w:rPr>
              <w:t xml:space="preserve">済</w:t>
            </w:r>
          </w:p>
        </w:tc>
        <w:tc>
          <w:tcPr>
            <w:tcW w:type="dxa" w:w="13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6"/>
                <w:szCs w:val="16"/>
              </w:rPr>
              <w:t xml:space="preserve">済</w:t>
            </w:r>
          </w:p>
        </w:tc>
        <w:tc>
          <w:tcPr>
            <w:tcW w:type="dxa" w:w="12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6"/>
                <w:szCs w:val="16"/>
              </w:rPr>
              <w:t xml:space="preserve">ほぼ済</w:t>
            </w:r>
          </w:p>
        </w:tc>
        <w:tc>
          <w:tcPr>
            <w:tcW w:type="dxa" w:w="13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6"/>
                <w:szCs w:val="16"/>
              </w:rPr>
              <w:t xml:space="preserve">未（翻訳待ち）</w:t>
            </w:r>
          </w:p>
        </w:tc>
      </w:tr>
      <w:tr>
        <w:tc>
          <w:tcPr>
            <w:tcW w:type="dxa" w:w="26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6"/>
                <w:szCs w:val="16"/>
              </w:rPr>
              <w:t xml:space="preserve">プロギング</w:t>
            </w:r>
          </w:p>
        </w:tc>
        <w:tc>
          <w:tcPr>
            <w:tcW w:type="dxa" w:w="13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6"/>
                <w:szCs w:val="16"/>
              </w:rPr>
              <w:t xml:space="preserve">済</w:t>
            </w:r>
          </w:p>
        </w:tc>
        <w:tc>
          <w:tcPr>
            <w:tcW w:type="dxa" w:w="15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6"/>
                <w:szCs w:val="16"/>
              </w:rPr>
              <w:t xml:space="preserve">途中</w:t>
            </w:r>
          </w:p>
        </w:tc>
        <w:tc>
          <w:tcPr>
            <w:tcW w:type="dxa" w:w="13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6"/>
                <w:szCs w:val="16"/>
              </w:rPr>
              <w:t xml:space="preserve">—</w:t>
            </w:r>
          </w:p>
        </w:tc>
        <w:tc>
          <w:tcPr>
            <w:tcW w:type="dxa" w:w="13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6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6"/>
                <w:szCs w:val="16"/>
              </w:rPr>
              <w:t xml:space="preserve">錦糸町 Public Space Commons</w:t>
            </w:r>
          </w:p>
        </w:tc>
        <w:tc>
          <w:tcPr>
            <w:tcW w:type="dxa" w:w="13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6"/>
                <w:szCs w:val="16"/>
              </w:rPr>
              <w:t xml:space="preserve">済</w:t>
            </w:r>
          </w:p>
        </w:tc>
        <w:tc>
          <w:tcPr>
            <w:tcW w:type="dxa" w:w="15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6"/>
                <w:szCs w:val="16"/>
              </w:rPr>
              <w:t xml:space="preserve">途中</w:t>
            </w:r>
          </w:p>
        </w:tc>
        <w:tc>
          <w:tcPr>
            <w:tcW w:type="dxa" w:w="13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6"/>
                <w:szCs w:val="16"/>
              </w:rPr>
              <w:t xml:space="preserve">—</w:t>
            </w:r>
          </w:p>
        </w:tc>
        <w:tc>
          <w:tcPr>
            <w:tcW w:type="dxa" w:w="13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6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6"/>
                <w:szCs w:val="16"/>
              </w:rPr>
              <w:t xml:space="preserve">PROJECT COMMONS（ドッグパーク）</w:t>
            </w:r>
          </w:p>
        </w:tc>
        <w:tc>
          <w:tcPr>
            <w:tcW w:type="dxa" w:w="13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6"/>
                <w:szCs w:val="16"/>
              </w:rPr>
              <w:t xml:space="preserve">済</w:t>
            </w:r>
          </w:p>
        </w:tc>
        <w:tc>
          <w:tcPr>
            <w:tcW w:type="dxa" w:w="15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6"/>
                <w:szCs w:val="16"/>
              </w:rPr>
              <w:t xml:space="preserve">途中〜一部済</w:t>
            </w:r>
          </w:p>
        </w:tc>
        <w:tc>
          <w:tcPr>
            <w:tcW w:type="dxa" w:w="13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6"/>
                <w:szCs w:val="16"/>
              </w:rPr>
              <w:t xml:space="preserve">一部着手</w:t>
            </w:r>
          </w:p>
        </w:tc>
        <w:tc>
          <w:tcPr>
            <w:tcW w:type="dxa" w:w="12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6"/>
                <w:szCs w:val="16"/>
              </w:rPr>
              <w:t xml:space="preserve">—</w:t>
            </w:r>
          </w:p>
        </w:tc>
        <w:tc>
          <w:tcPr>
            <w:tcW w:type="dxa" w:w="13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6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6"/>
                <w:szCs w:val="16"/>
              </w:rPr>
              <w:t xml:space="preserve">LAYERED PARK系</w:t>
            </w:r>
          </w:p>
        </w:tc>
        <w:tc>
          <w:tcPr>
            <w:tcW w:type="dxa" w:w="13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6"/>
                <w:szCs w:val="16"/>
              </w:rPr>
              <w:t xml:space="preserve">済</w:t>
            </w:r>
          </w:p>
        </w:tc>
        <w:tc>
          <w:tcPr>
            <w:tcW w:type="dxa" w:w="15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6"/>
                <w:szCs w:val="16"/>
              </w:rPr>
              <w:t xml:space="preserve">途中</w:t>
            </w:r>
          </w:p>
        </w:tc>
        <w:tc>
          <w:tcPr>
            <w:tcW w:type="dxa" w:w="13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6"/>
                <w:szCs w:val="16"/>
              </w:rPr>
              <w:t xml:space="preserve">—</w:t>
            </w:r>
          </w:p>
        </w:tc>
        <w:tc>
          <w:tcPr>
            <w:tcW w:type="dxa" w:w="12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6"/>
                <w:szCs w:val="16"/>
              </w:rPr>
              <w:t xml:space="preserve">—</w:t>
            </w:r>
          </w:p>
        </w:tc>
        <w:tc>
          <w:tcPr>
            <w:tcW w:type="dxa" w:w="13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6"/>
                <w:szCs w:val="16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Yu Mincho" w:cs="Yu Mincho" w:eastAsia="Yu Mincho" w:hAnsi="Yu Mincho"/>
          <w:b/>
          <w:bCs/>
          <w:color w:val="C9A24A"/>
          <w:sz w:val="32"/>
          <w:szCs w:val="32"/>
        </w:rPr>
        <w:t xml:space="preserve">② 未登録カードの仕分け</w:t>
      </w:r>
    </w:p>
    <w:p>
      <w:pPr>
        <w:spacing w:after="160" w:line="340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0"/>
          <w:szCs w:val="20"/>
        </w:rPr>
        <w:t xml:space="preserve">同時多発プロジェクトのうち4件は、Core20のどのIDにも未対応。仕分け案は以下の通り。</w:t>
      </w:r>
    </w:p>
    <w:tbl>
      <w:tblPr>
        <w:tblW w:type="dxa" w:w="9200"/>
        <w:tblBorders>
          <w:top w:val="single" w:color="3A3020" w:sz="2"/>
          <w:left w:val="single" w:color="3A3020" w:sz="2"/>
          <w:bottom w:val="single" w:color="3A3020" w:sz="2"/>
          <w:right w:val="single" w:color="3A3020" w:sz="2"/>
          <w:insideH w:val="single" w:color="3A3020" w:sz="2"/>
          <w:insideV w:val="single" w:color="3A3020" w:sz="2"/>
        </w:tblBorders>
      </w:tblPr>
      <w:tblGrid>
        <w:gridCol w:w="2400"/>
        <w:gridCol w:w="3200"/>
        <w:gridCol w:w="3600"/>
      </w:tblGrid>
      <w:tr>
        <w:tc>
          <w:tcPr>
            <w:tcW w:type="dxa" w:w="2400"/>
            <w:shd w:fill="1A171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/>
                <w:bCs/>
                <w:color w:val="C9A24A"/>
                <w:sz w:val="16"/>
                <w:szCs w:val="16"/>
              </w:rPr>
              <w:t xml:space="preserve">現場プロジェクト</w:t>
            </w:r>
          </w:p>
        </w:tc>
        <w:tc>
          <w:tcPr>
            <w:tcW w:type="dxa" w:w="3200"/>
            <w:shd w:fill="1A171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/>
                <w:bCs/>
                <w:color w:val="C9A24A"/>
                <w:sz w:val="16"/>
                <w:szCs w:val="16"/>
              </w:rPr>
              <w:t xml:space="preserve">仕分け先</w:t>
            </w:r>
          </w:p>
        </w:tc>
        <w:tc>
          <w:tcPr>
            <w:tcW w:type="dxa" w:w="3600"/>
            <w:shd w:fill="1A171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/>
                <w:bCs/>
                <w:color w:val="C9A24A"/>
                <w:sz w:val="16"/>
                <w:szCs w:val="16"/>
              </w:rPr>
              <w:t xml:space="preserve">備考</w:t>
            </w:r>
          </w:p>
        </w:tc>
      </w:tr>
      <w:tr>
        <w:tc>
          <w:tcPr>
            <w:tcW w:type="dxa" w:w="24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6"/>
                <w:szCs w:val="16"/>
              </w:rPr>
              <w:t xml:space="preserve">PROJECT COMMONS</w:t>
            </w:r>
          </w:p>
        </w:tc>
        <w:tc>
          <w:tcPr>
            <w:tcW w:type="dxa" w:w="32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6"/>
                <w:szCs w:val="16"/>
              </w:rPr>
              <w:t xml:space="preserve">UR-0005｜都市意思決定（実体化候補）</w:t>
            </w:r>
          </w:p>
        </w:tc>
        <w:tc>
          <w:tcPr>
            <w:tcW w:type="dxa" w:w="36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6"/>
                <w:szCs w:val="16"/>
              </w:rPr>
              <w:t xml:space="preserve">空席だった枠に現場が先に埋まった例。無理に埋めたわけではない</w:t>
            </w:r>
          </w:p>
        </w:tc>
      </w:tr>
      <w:tr>
        <w:tc>
          <w:tcPr>
            <w:tcW w:type="dxa" w:w="24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6"/>
                <w:szCs w:val="16"/>
              </w:rPr>
              <w:t xml:space="preserve">LAYERED PARK系</w:t>
            </w:r>
          </w:p>
        </w:tc>
        <w:tc>
          <w:tcPr>
            <w:tcW w:type="dxa" w:w="32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6"/>
                <w:szCs w:val="16"/>
              </w:rPr>
              <w:t xml:space="preserve">UR-0003｜PLATEAU EXTENSIONと同一系統の可能性</w:t>
            </w:r>
          </w:p>
        </w:tc>
        <w:tc>
          <w:tcPr>
            <w:tcW w:type="dxa" w:w="36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6"/>
                <w:szCs w:val="16"/>
              </w:rPr>
              <w:t xml:space="preserve">UME_Chapter11環境設計との突合が先</w:t>
            </w:r>
          </w:p>
        </w:tc>
      </w:tr>
      <w:tr>
        <w:tc>
          <w:tcPr>
            <w:tcW w:type="dxa" w:w="24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6"/>
                <w:szCs w:val="16"/>
              </w:rPr>
              <w:t xml:space="preserve">錦糸町 Public Space Commons</w:t>
            </w:r>
          </w:p>
        </w:tc>
        <w:tc>
          <w:tcPr>
            <w:tcW w:type="dxa" w:w="32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6"/>
                <w:szCs w:val="16"/>
              </w:rPr>
              <w:t xml:space="preserve">BS-0003吸収 or UR/BS橋渡し新規カード</w:t>
            </w:r>
          </w:p>
        </w:tc>
        <w:tc>
          <w:tcPr>
            <w:tcW w:type="dxa" w:w="36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6"/>
                <w:szCs w:val="16"/>
              </w:rPr>
              <w:t xml:space="preserve">思想実証というより事業設計寄り</w:t>
            </w:r>
          </w:p>
        </w:tc>
      </w:tr>
      <w:tr>
        <w:tc>
          <w:tcPr>
            <w:tcW w:type="dxa" w:w="24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6"/>
                <w:szCs w:val="16"/>
              </w:rPr>
              <w:t xml:space="preserve">プロギング</w:t>
            </w:r>
          </w:p>
        </w:tc>
        <w:tc>
          <w:tcPr>
            <w:tcW w:type="dxa" w:w="32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6"/>
                <w:szCs w:val="16"/>
              </w:rPr>
              <w:t xml:space="preserve">Core20に入れず、Public Mentor Lab実践事例のまま</w:t>
            </w:r>
          </w:p>
        </w:tc>
        <w:tc>
          <w:tcPr>
            <w:tcW w:type="dxa" w:w="3600"/>
            <w:shd w:fill="0A0A0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Yu Mincho" w:cs="Yu Mincho" w:eastAsia="Yu Mincho" w:hAnsi="Yu Mincho"/>
                <w:b w:val="false"/>
                <w:bCs w:val="false"/>
                <w:color w:val="EAE3D3"/>
                <w:sz w:val="16"/>
                <w:szCs w:val="16"/>
              </w:rPr>
              <w:t xml:space="preserve">理論語彙が未使用。現場ファシリテーションの延長</w:t>
            </w:r>
          </w:p>
        </w:tc>
      </w:tr>
    </w:tbl>
    <w:p>
      <w:pPr>
        <w:spacing w:after="100" w:before="100"/>
        <w:jc w:val="center"/>
      </w:pPr>
      <w:r>
        <w:rPr>
          <w:rFonts w:ascii="Yu Mincho" w:cs="Yu Mincho" w:eastAsia="Yu Mincho" w:hAnsi="Yu Mincho"/>
          <w:color w:val="C9A24A"/>
          <w:sz w:val="20"/>
          <w:szCs w:val="20"/>
        </w:rPr>
        <w:t xml:space="preserve">⸻</w:t>
      </w:r>
    </w:p>
    <w:p>
      <w:pPr>
        <w:spacing w:after="160" w:line="340"/>
      </w:pPr>
      <w:r>
        <w:rPr>
          <w:rFonts w:ascii="Yu Mincho" w:cs="Yu Mincho" w:eastAsia="Yu Mincho" w:hAnsi="Yu Mincho"/>
          <w:b w:val="false"/>
          <w:bCs w:val="false"/>
          <w:i/>
          <w:iCs/>
          <w:color w:val="EAE3D3"/>
          <w:sz w:val="20"/>
          <w:szCs w:val="20"/>
        </w:rPr>
        <w:t xml:space="preserve">特記：UR-0005「都市意思決定」は、Phase3のFuture Cardsで「未執筆の参照」として記録していた空席である。今回PROJECT COMMONSという現場実践がここに実体化候補として先に現れた。これは無理に埋めたのではなく、Future Cardsに記録しておいたからこそ、現場の動きと空席を正しく照合できた例といえる。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Yu Mincho" w:cs="Yu Mincho" w:eastAsia="Yu Mincho" w:hAnsi="Yu Mincho"/>
          <w:b/>
          <w:bCs/>
          <w:color w:val="C9A24A"/>
          <w:sz w:val="32"/>
          <w:szCs w:val="32"/>
        </w:rPr>
        <w:t xml:space="preserve">③ Glossary追加：処方箋／ワクチン</w:t>
      </w:r>
    </w:p>
    <w:p>
      <w:pPr>
        <w:spacing w:after="120" w:line="320"/>
      </w:pPr>
      <w:r>
        <w:rPr>
          <w:rFonts w:ascii="Yu Mincho" w:cs="Yu Mincho" w:eastAsia="Yu Mincho" w:hAnsi="Yu Mincho"/>
          <w:b/>
          <w:bCs/>
          <w:color w:val="C9A24A"/>
          <w:sz w:val="20"/>
          <w:szCs w:val="20"/>
        </w:rPr>
        <w:t xml:space="preserve">処方箋／ワクチン（宣言と浸透の対）</w:t>
      </w:r>
      <w:r>
        <w:rPr>
          <w:rFonts w:ascii="Yu Mincho" w:cs="Yu Mincho" w:eastAsia="Yu Mincho" w:hAnsi="Yu Mincho"/>
          <w:color w:val="EAE3D3"/>
          <w:sz w:val="20"/>
          <w:szCs w:val="20"/>
        </w:rPr>
        <w:t xml:space="preserve">　同じ思想を伝える二つの様式。処方箋は診断と治療を名指しして渡す明示的様式（例：ビジョン図、プラットフォーム構想）。ワクチンは思想を弱毒化・分解し、現場の言語に紛れ込ませて免疫系そのものに仕事をさせる様式（例：SURVIVE段階の開示的な語りかけ）。</w:t>
      </w:r>
    </w:p>
    <w:p>
      <w:pPr>
        <w:spacing w:after="160" w:line="340"/>
      </w:pPr>
      <w:r>
        <w:rPr>
          <w:rFonts w:ascii="Yu Mincho" w:cs="Yu Mincho" w:eastAsia="Yu Mincho" w:hAnsi="Yu Mincho"/>
          <w:b w:val="false"/>
          <w:bCs w:val="false"/>
          <w:i/>
          <w:iCs/>
          <w:color w:val="B8AF9C"/>
          <w:sz w:val="20"/>
          <w:szCs w:val="20"/>
        </w:rPr>
        <w:t xml:space="preserve">関連：縁人が「どこに立つか」を扱うのに対し、この対は「同じ人物が、相手と場面に応じてどちらの投与法を選ぶか」を扱う。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Yu Mincho" w:cs="Yu Mincho" w:eastAsia="Yu Mincho" w:hAnsi="Yu Mincho"/>
          <w:b/>
          <w:bCs/>
          <w:color w:val="C9A24A"/>
          <w:sz w:val="32"/>
          <w:szCs w:val="32"/>
        </w:rPr>
        <w:t xml:space="preserve">④ 編集メモ訂正：%表示とマーブル仮説の関係</w:t>
      </w:r>
    </w:p>
    <w:p>
      <w:pPr>
        <w:pStyle w:val="Heading2"/>
        <w:spacing w:after="140" w:before="240"/>
      </w:pPr>
      <w:r>
        <w:rPr>
          <w:rFonts w:ascii="Yu Mincho" w:cs="Yu Mincho" w:eastAsia="Yu Mincho" w:hAnsi="Yu Mincho"/>
          <w:b/>
          <w:bCs/>
          <w:color w:val="C9A24A"/>
          <w:sz w:val="23"/>
          <w:szCs w:val="23"/>
        </w:rPr>
        <w:t xml:space="preserve">旧記述（Phase 3・編集メモより）</w:t>
      </w:r>
    </w:p>
    <w:p>
      <w:pPr>
        <w:spacing w:after="160" w:line="340"/>
      </w:pPr>
      <w:r>
        <w:rPr>
          <w:rFonts w:ascii="Yu Mincho" w:cs="Yu Mincho" w:eastAsia="Yu Mincho" w:hAnsi="Yu Mincho"/>
          <w:b w:val="false"/>
          <w:bCs w:val="false"/>
          <w:i/>
          <w:iCs/>
          <w:color w:val="B8AF9C"/>
          <w:sz w:val="20"/>
          <w:szCs w:val="20"/>
        </w:rPr>
        <w:t xml:space="preserve">「Cognitive Circuitの%表示（インサイト）と、マーブル仮説（平均化しない）の間にある矛盾は、今回何度も登場したが、一度も解消していない。これは編集の失敗ではなく、意図的な保留である。」</w:t>
      </w:r>
    </w:p>
    <w:p>
      <w:pPr>
        <w:spacing w:after="100" w:before="100"/>
        <w:jc w:val="center"/>
      </w:pPr>
      <w:r>
        <w:rPr>
          <w:rFonts w:ascii="Yu Mincho" w:cs="Yu Mincho" w:eastAsia="Yu Mincho" w:hAnsi="Yu Mincho"/>
          <w:color w:val="C9A24A"/>
          <w:sz w:val="20"/>
          <w:szCs w:val="20"/>
        </w:rPr>
        <w:t xml:space="preserve">⸻</w:t>
      </w:r>
    </w:p>
    <w:p>
      <w:pPr>
        <w:pStyle w:val="Heading2"/>
        <w:spacing w:after="140" w:before="240"/>
      </w:pPr>
      <w:r>
        <w:rPr>
          <w:rFonts w:ascii="Yu Mincho" w:cs="Yu Mincho" w:eastAsia="Yu Mincho" w:hAnsi="Yu Mincho"/>
          <w:b/>
          <w:bCs/>
          <w:color w:val="C9A24A"/>
          <w:sz w:val="23"/>
          <w:szCs w:val="23"/>
        </w:rPr>
        <w:t xml:space="preserve">新記述（2026年7月・確認により訂正）</w:t>
      </w:r>
    </w:p>
    <w:p>
      <w:pPr>
        <w:spacing w:after="160" w:line="340"/>
      </w:pPr>
      <w:r>
        <w:rPr>
          <w:rFonts w:ascii="Yu Mincho" w:cs="Yu Mincho" w:eastAsia="Yu Mincho" w:hAnsi="Yu Mincho"/>
          <w:b/>
          <w:bCs/>
          <w:i w:val="false"/>
          <w:iCs w:val="false"/>
          <w:color w:val="EAE3D3"/>
          <w:sz w:val="20"/>
          <w:szCs w:val="20"/>
        </w:rPr>
        <w:t xml:space="preserve">実装を確認した結果、Cognitive Circuitの%表示（自由38%・安定27%…）は対立軸の中間値を示す平均化ではなく、出現したノードの頻度集計であることが判明した。</w:t>
      </w:r>
    </w:p>
    <w:p>
      <w:pPr>
        <w:spacing w:after="160" w:line="340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EAE3D3"/>
          <w:sz w:val="20"/>
          <w:szCs w:val="20"/>
        </w:rPr>
        <w:t xml:space="preserve">マーブル仮説が禁じているのは「個々の単位を消して一つの平均値に潰すこと」であり、「複数の単位がそれぞれどれだけ現れたかを数えること」ではない。両者は水準が異なるため、現行UIにおいて矛盾はそもそも発生していなかった。</w:t>
      </w:r>
    </w:p>
    <w:p>
      <w:pPr>
        <w:spacing w:after="100" w:before="100"/>
        <w:jc w:val="center"/>
      </w:pPr>
      <w:r>
        <w:rPr>
          <w:rFonts w:ascii="Yu Mincho" w:cs="Yu Mincho" w:eastAsia="Yu Mincho" w:hAnsi="Yu Mincho"/>
          <w:color w:val="C9A24A"/>
          <w:sz w:val="20"/>
          <w:szCs w:val="20"/>
        </w:rPr>
        <w:t xml:space="preserve">⸻</w:t>
      </w:r>
    </w:p>
    <w:p>
      <w:pPr>
        <w:spacing w:after="160" w:line="340"/>
      </w:pPr>
      <w:r>
        <w:rPr>
          <w:rFonts w:ascii="Yu Mincho" w:cs="Yu Mincho" w:eastAsia="Yu Mincho" w:hAnsi="Yu Mincho"/>
          <w:b w:val="false"/>
          <w:bCs w:val="false"/>
          <w:i/>
          <w:iCs/>
          <w:color w:val="EAE3D3"/>
          <w:sz w:val="20"/>
          <w:szCs w:val="20"/>
        </w:rPr>
        <w:t xml:space="preserve">この訂正は、保留を覆した失敗ではない。新しい観測（実装の実際の確認）によって、以前は区別できなかった二つの水準（平均化 と 頻度集計）が区別できるようになった、という研究憲章に沿った更新である。</w:t>
      </w:r>
    </w:p>
    <w:sectPr>
      <w:pgSz w:w="11907" w:h="16840" w:orient="portrait"/>
      <w:pgMar w:top="1300" w:right="1200" w:bottom="13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Mincho" w:cs="Yu Mincho" w:eastAsia="Yu Mincho" w:hAnsi="Yu Mincho"/>
        <w:color w:val="EAE3D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2026-07-06T09:14:40.777Z</dcterms:created>
  <dcterms:modified xsi:type="dcterms:W3CDTF">2026-07-06T09:14:40.791Z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