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r w:rsidRPr="00F943E7">
        <w:t>Хачай</w:t>
      </w:r>
      <w:r w:rsidRPr="002E1888">
        <w:t xml:space="preserve">, </w:t>
      </w:r>
      <w:r>
        <w:t>д</w:t>
      </w:r>
      <w:r w:rsidRPr="002E1888">
        <w:t xml:space="preserve">. </w:t>
      </w:r>
      <w:r>
        <w:t>ф</w:t>
      </w:r>
      <w:r w:rsidRPr="002E1888">
        <w:t>.-</w:t>
      </w:r>
      <w:r>
        <w:t>м</w:t>
      </w:r>
      <w:r w:rsidRPr="002E1888">
        <w:t>.</w:t>
      </w:r>
      <w:r>
        <w:t>н</w:t>
      </w:r>
      <w:r w:rsidRPr="002E1888">
        <w:t xml:space="preserve">., </w:t>
      </w:r>
      <w:r w:rsidRPr="00F943E7">
        <w:rPr>
          <w:lang w:val="en-US"/>
        </w:rPr>
        <w:t>mkhachay</w:t>
      </w:r>
      <w:r w:rsidRPr="002E1888">
        <w:t>@</w:t>
      </w:r>
      <w:r w:rsidRPr="00F943E7">
        <w:rPr>
          <w:lang w:val="en-US"/>
        </w:rPr>
        <w:t>imm</w:t>
      </w:r>
      <w:r w:rsidRPr="002E1888">
        <w:t>.</w:t>
      </w:r>
      <w:r w:rsidRPr="00F943E7">
        <w:rPr>
          <w:lang w:val="en-US"/>
        </w:rPr>
        <w:t>uran</w:t>
      </w:r>
      <w:r w:rsidRPr="002E1888">
        <w:t>.</w:t>
      </w:r>
      <w:r w:rsidRPr="00F943E7">
        <w:rPr>
          <w:lang w:val="en-US"/>
        </w:rPr>
        <w:t>ru</w:t>
      </w:r>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r w:rsidRPr="00F943E7">
        <w:rPr>
          <w:lang w:val="en-US"/>
        </w:rPr>
        <w:t>ukolov</w:t>
      </w:r>
      <w:r w:rsidRPr="002E1888">
        <w:t>@</w:t>
      </w:r>
      <w:r w:rsidRPr="00F943E7">
        <w:rPr>
          <w:lang w:val="en-US"/>
        </w:rPr>
        <w:t>urfu</w:t>
      </w:r>
      <w:r w:rsidRPr="002E1888">
        <w:t>.</w:t>
      </w:r>
      <w:r w:rsidRPr="00F943E7">
        <w:rPr>
          <w:lang w:val="en-US"/>
        </w:rPr>
        <w:t>ru</w:t>
      </w:r>
      <w:r w:rsidRPr="002E1888">
        <w:t xml:space="preserve">; </w:t>
      </w:r>
      <w:proofErr w:type="gramStart"/>
      <w:r w:rsidRPr="00F943E7">
        <w:t>А</w:t>
      </w:r>
      <w:r w:rsidRPr="002E1888">
        <w:t>.</w:t>
      </w:r>
      <w:r w:rsidRPr="00F943E7">
        <w:t>А</w:t>
      </w:r>
      <w:r w:rsidRPr="002E1888">
        <w:t>.</w:t>
      </w:r>
      <w:proofErr w:type="gramEnd"/>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r w:rsidRPr="007B1201">
        <w:rPr>
          <w:lang w:val="en-US"/>
        </w:rPr>
        <w:t>aapetunin</w:t>
      </w:r>
      <w:r w:rsidRPr="002E1888">
        <w:t>@</w:t>
      </w:r>
      <w:r w:rsidRPr="007B1201">
        <w:rPr>
          <w:lang w:val="en-US"/>
        </w:rPr>
        <w:t>gmail</w:t>
      </w:r>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метаэвристикой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Хелда-Карпа, дополненный стратегией ветвления и границ, и современным решателем Gurobi, использующим нашу недавнюю моделью MILP и горячий старт на основе PCGLNS.</w:t>
      </w:r>
    </w:p>
    <w:p w14:paraId="35DA6032" w14:textId="0B36936A" w:rsidR="00F943E7" w:rsidRPr="003B7206" w:rsidRDefault="00F943E7" w:rsidP="00F943E7">
      <w:pPr>
        <w:rPr>
          <w:lang w:val="en-US"/>
        </w:rPr>
      </w:pPr>
      <w:r w:rsidRPr="00F943E7">
        <w:rPr>
          <w:b/>
          <w:bCs/>
        </w:rPr>
        <w:t>Ключевые</w:t>
      </w:r>
      <w:r w:rsidRPr="003B7206">
        <w:rPr>
          <w:b/>
          <w:bCs/>
          <w:lang w:val="en-US"/>
        </w:rPr>
        <w:t xml:space="preserve"> </w:t>
      </w:r>
      <w:r w:rsidRPr="00F943E7">
        <w:rPr>
          <w:b/>
          <w:bCs/>
        </w:rPr>
        <w:t>слова</w:t>
      </w:r>
      <w:r w:rsidRPr="003B7206">
        <w:rPr>
          <w:lang w:val="en-US"/>
        </w:rPr>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r>
        <w:rPr>
          <w:lang w:val="en-US"/>
        </w:rPr>
        <w:t>M.Yu.</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r>
        <w:rPr>
          <w:lang w:val="en-US"/>
        </w:rPr>
        <w:t xml:space="preserve">Ukolov,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To the best of our knowledge, all the known algorithmic results for this problem can be exhausted by Salmans's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Gurobi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Обобщенная задача коммивояжера (GTSP) – это хорошо известная задача комбинаторной оптимизации, представленная в основополагающей статье [1] Сриваставы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задача становится NP-сложной даже на евклидовой плоскости [8]. Сдругой стороны, хорошо известная схема динамического программирования Хелда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r w:rsidRPr="000C08ED">
        <w:t>параметризован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полученные экземпляры ATSP устроены довольно необычно, что затрудняет их решение даже для современных решателей MIP, таких как Gurobi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proofErr w:type="gramStart"/>
      <w:r w:rsidRPr="00AF5D22">
        <w:t>ветвей</w:t>
      </w:r>
      <w:proofErr w:type="gramEnd"/>
      <w:r w:rsidRPr="00AF5D22">
        <w:t xml:space="preserve">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Наконец, третий подход заключается в разработке различных эвристик и метаэвристик. Так, Г.</w:t>
      </w:r>
      <w:r>
        <w:t> </w:t>
      </w:r>
      <w:r w:rsidRPr="00AF5D22">
        <w:t>Гутин и</w:t>
      </w:r>
      <w:r>
        <w:t xml:space="preserve"> </w:t>
      </w:r>
      <w:r w:rsidRPr="00AF5D22">
        <w:t>Д.</w:t>
      </w:r>
      <w:r>
        <w:t> </w:t>
      </w:r>
      <w:r w:rsidRPr="00AF5D22">
        <w:t xml:space="preserve">Карапетян [17] предложили эффективный меметический алгоритм, в [18] знаменитый </w:t>
      </w:r>
      <w:r w:rsidRPr="00AF5D22">
        <w:lastRenderedPageBreak/>
        <w:t>эвристический решатель Лина-Кернигана-Хельсгауна был расширен до GTSP, а в [19] была разработана мощная метаэвристика</w:t>
      </w:r>
      <w:r>
        <w:t xml:space="preserve"> </w:t>
      </w:r>
      <w:r w:rsidRPr="00AF5D22">
        <w:t>Adaptive Large Neighborhood Search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эффективные алгоритмы для специальных ограничений предшествования типа Баласа [20—22] и ограничени</w:t>
      </w:r>
      <w:r w:rsidR="005904B0">
        <w:t>й</w:t>
      </w:r>
      <w:r w:rsidRPr="00AF5D22">
        <w:t xml:space="preserve"> предшествования, приводящи</w:t>
      </w:r>
      <w:r w:rsidR="005904B0">
        <w:t>х</w:t>
      </w:r>
      <w:r w:rsidRPr="00AF5D22">
        <w:t xml:space="preserve"> к квази- и псевдопирамидальным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r>
        <w:rPr>
          <w:shd w:val="clear" w:color="auto" w:fill="FFFFFF"/>
        </w:rPr>
        <w:t>Новизна данной работы</w:t>
      </w:r>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r w:rsidRPr="000E5349">
        <w:rPr>
          <w:shd w:val="clear" w:color="auto" w:fill="FFFFFF"/>
        </w:rPr>
        <w:t>Хелда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сравнима как в смысле скорости, так и точности получаемых решений с современным решателем Gurobi,</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Затем, сводим полученную задачу к ATSP, используя классическую трансформацию Нуна-Бина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A83253"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A83253"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A83253"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A83253"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A83253"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7A8B1393" w14:textId="7E843F6D" w:rsidR="00390EE7" w:rsidRPr="003B7206"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минимального остовного дерева (Minimum Spanning Arborescence Problem, MSAP), либо решения задачи о</w:t>
      </w:r>
      <w:r>
        <w:t xml:space="preserve"> </w:t>
      </w:r>
      <w:r w:rsidRPr="00DB105F">
        <w:t>назначениях (Assignment Problem,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ATSP при помощи солвера Gurobi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sidRPr="003B7206">
        <w:t>)</w:t>
      </w:r>
      <w:r w:rsidRPr="00DB105F">
        <w:t>.</w:t>
      </w:r>
      <w:r w:rsidR="003B7206">
        <w:t xml:space="preserve"> Её столбцы – разные способы сведения задачи к </w:t>
      </w:r>
      <w:r w:rsidR="003B7206">
        <w:rPr>
          <w:lang w:val="en-US"/>
        </w:rPr>
        <w:t>ATSP</w:t>
      </w:r>
      <w:r w:rsidR="003B7206">
        <w:t xml:space="preserve"> на первом этапе, строки – способы решения полученной задачи </w:t>
      </w:r>
      <w:r w:rsidR="003B7206">
        <w:rPr>
          <w:lang w:val="en-US"/>
        </w:rPr>
        <w:t>ATSP</w:t>
      </w:r>
      <w:r w:rsidR="003B7206">
        <w:t xml:space="preserve"> на втором.</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D5259BB" w:rsidR="00B869B5" w:rsidRPr="003B7206" w:rsidRDefault="003B7206" w:rsidP="00B869B5">
                  <w:pPr>
                    <w:ind w:firstLine="0"/>
                    <w:jc w:val="center"/>
                  </w:pPr>
                  <w:r>
                    <w:t>Нун-Бин</w:t>
                  </w:r>
                </w:p>
              </w:tc>
              <w:tc>
                <w:tcPr>
                  <w:tcW w:w="570" w:type="dxa"/>
                </w:tcPr>
                <w:p w14:paraId="2D51B180" w14:textId="100A5634" w:rsidR="00B869B5" w:rsidRDefault="00A83253"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A83253"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r>
                    <w:rPr>
                      <w:lang w:val="en-US"/>
                    </w:rPr>
                    <w:t>Gurobi</w:t>
                  </w:r>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 xml:space="preserve">оказываются почти всегда наиболее строгими, статистически значимо с доверительным интервалом 95%. Мы также отказались от использования оценок </w:t>
      </w:r>
      <w:r>
        <w:rPr>
          <w:lang w:val="en-US"/>
        </w:rPr>
        <w:t>E</w:t>
      </w:r>
      <w:r w:rsidRPr="00293F4D">
        <w:rPr>
          <w:vertAlign w:val="subscript"/>
        </w:rPr>
        <w:t>5</w:t>
      </w:r>
      <w:r w:rsidRPr="00293F4D">
        <w:t xml:space="preserve"> и </w:t>
      </w:r>
      <w:r>
        <w:rPr>
          <w:lang w:val="en-US"/>
        </w:rPr>
        <w:t>E</w:t>
      </w:r>
      <w:r w:rsidRPr="00293F4D">
        <w:rPr>
          <w:vertAlign w:val="subscript"/>
        </w:rPr>
        <w:t>6</w:t>
      </w:r>
      <w:r w:rsidRPr="00293F4D">
        <w:t xml:space="preserve"> 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Pr="00AF263E" w:rsidRDefault="00293F4D" w:rsidP="00293F4D">
      <w:pPr>
        <w:pStyle w:val="H1"/>
        <w:rPr>
          <w:lang w:val="ru-RU"/>
        </w:rPr>
      </w:pPr>
      <w:r w:rsidRPr="00AF263E">
        <w:rPr>
          <w:lang w:val="ru-RU"/>
        </w:rPr>
        <w:t>4. Алгоритм ветвей и границ</w:t>
      </w:r>
    </w:p>
    <w:p w14:paraId="221608F4" w14:textId="414544CE" w:rsidR="00293F4D" w:rsidRPr="008508BE" w:rsidRDefault="00AF263E" w:rsidP="00293F4D">
      <w:r w:rsidRPr="00AF263E">
        <w:t xml:space="preserve">Для 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rsidRPr="00AF263E">
        <w:t xml:space="preserve">, мы обходим дерево поиска в ширину (Breadth First Search), см. Алгоритм 1. Каждый узел этого дерева связан с префиксом </w:t>
      </w:r>
      <m:oMath>
        <m:r>
          <w:rPr>
            <w:rFonts w:ascii="Cambria Math" w:hAnsi="Cambria Math" w:cs="Cambria Math"/>
          </w:rPr>
          <m:t>σ=(</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2</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r</m:t>
                </m:r>
              </m:sub>
            </m:sSub>
          </m:sub>
        </m:sSub>
        <m:r>
          <w:rPr>
            <w:rFonts w:ascii="Cambria Math" w:hAnsi="Cambria Math" w:cs="Cambria Math"/>
          </w:rPr>
          <m:t>)</m:t>
        </m:r>
      </m:oMath>
      <w:r w:rsidRPr="00AF263E">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rsidRPr="00AF263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Pr="00AF263E">
        <w:t xml:space="preserve">, и </w:t>
      </w:r>
      <m:oMath>
        <m:r>
          <w:rPr>
            <w:rFonts w:ascii="Cambria Math" w:hAnsi="Cambria Math" w:cs="Cambria Math"/>
          </w:rPr>
          <m:t>r∈{1,…m}</m:t>
        </m:r>
      </m:oMath>
      <w:r w:rsidRPr="00AF263E">
        <w:t>.</w:t>
      </w:r>
      <w:r w:rsidR="008508BE">
        <w:t xml:space="preserve"> Кластеры</w:t>
      </w:r>
      <w:r w:rsidR="008508BE" w:rsidRPr="008508B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sidR="008508BE">
        <w:rPr>
          <w:rFonts w:eastAsiaTheme="minorEastAsia"/>
        </w:rPr>
        <w:t xml:space="preserve"> посещаются в порядке </w:t>
      </w:r>
      <m:oMath>
        <m:r>
          <w:rPr>
            <w:rFonts w:ascii="Cambria Math" w:hAnsi="Cambria Math" w:cs="Cambria Math"/>
          </w:rPr>
          <m:t>σ</m:t>
        </m:r>
      </m:oMath>
      <w:r w:rsidR="008508BE">
        <w:rPr>
          <w:rFonts w:eastAsiaTheme="minorEastAsia"/>
        </w:rPr>
        <w:t xml:space="preserve">, а все остальные – в произвольном </w:t>
      </w:r>
      <w:r w:rsidR="008508BE">
        <w:rPr>
          <w:rFonts w:eastAsiaTheme="minorEastAsia"/>
        </w:rPr>
        <w:lastRenderedPageBreak/>
        <w:t xml:space="preserve">порядке (с соблюдением ограничений предшествования </w:t>
      </w:r>
      <m:oMath>
        <m:r>
          <m:rPr>
            <m:sty m:val="p"/>
          </m:rPr>
          <w:rPr>
            <w:rFonts w:ascii="Cambria Math" w:eastAsiaTheme="minorEastAsia" w:hAnsi="Cambria Math"/>
          </w:rPr>
          <m:t>Π</m:t>
        </m:r>
      </m:oMath>
      <w:r w:rsidR="008508BE">
        <w:rPr>
          <w:rFonts w:eastAsiaTheme="minorEastAsia"/>
        </w:rPr>
        <w:t xml:space="preserve">), составляя тем самым вспомогательную задачу </w:t>
      </w:r>
      <m:oMath>
        <m:r>
          <m:rPr>
            <m:scr m:val="script"/>
          </m:rPr>
          <w:rPr>
            <w:rFonts w:ascii="Cambria Math" w:hAnsi="Cambria Math"/>
          </w:rPr>
          <m:t>P</m:t>
        </m:r>
      </m:oMath>
      <w:r w:rsidR="008508BE">
        <w:rPr>
          <w:rFonts w:eastAsiaTheme="minorEastAsia"/>
        </w:rPr>
        <w:t xml:space="preserve"> из раздела 3.1.</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8358"/>
      </w:tblGrid>
      <w:tr w:rsidR="00A83253" w14:paraId="3F2EE5E2" w14:textId="77777777" w:rsidTr="008C4D6A">
        <w:tc>
          <w:tcPr>
            <w:tcW w:w="9394" w:type="dxa"/>
            <w:gridSpan w:val="2"/>
            <w:tcBorders>
              <w:top w:val="single" w:sz="4" w:space="0" w:color="auto"/>
              <w:bottom w:val="single" w:sz="4" w:space="0" w:color="auto"/>
            </w:tcBorders>
          </w:tcPr>
          <w:p w14:paraId="6CC0E570" w14:textId="19D34409" w:rsidR="00A83253" w:rsidRPr="008508BE" w:rsidRDefault="00A83253" w:rsidP="00293F4D">
            <w:pPr>
              <w:ind w:firstLine="0"/>
              <w:rPr>
                <w:lang w:val="en-US"/>
              </w:rPr>
            </w:pPr>
            <w:r w:rsidRPr="00A83253">
              <w:rPr>
                <w:b/>
                <w:bCs/>
              </w:rPr>
              <w:t>Алгоритм 1</w:t>
            </w:r>
            <w:r>
              <w:rPr>
                <w:lang w:val="en-US"/>
              </w:rPr>
              <w:t xml:space="preserve">. </w:t>
            </w:r>
            <w:proofErr w:type="gramStart"/>
            <w:r w:rsidRPr="00A83253">
              <w:t>BnB :</w:t>
            </w:r>
            <w:proofErr w:type="gramEnd"/>
            <w:r w:rsidRPr="00A83253">
              <w:t>: Главная процедура</w:t>
            </w:r>
          </w:p>
        </w:tc>
      </w:tr>
      <w:tr w:rsidR="00A83253" w:rsidRPr="00902D10" w14:paraId="24601FC9" w14:textId="77777777" w:rsidTr="008C4D6A">
        <w:tc>
          <w:tcPr>
            <w:tcW w:w="1036" w:type="dxa"/>
            <w:tcBorders>
              <w:top w:val="single" w:sz="4" w:space="0" w:color="auto"/>
            </w:tcBorders>
          </w:tcPr>
          <w:p w14:paraId="7B3CEE15" w14:textId="69F718C8" w:rsidR="00A83253" w:rsidRPr="00902D10" w:rsidRDefault="00A83253" w:rsidP="00A83253">
            <w:pPr>
              <w:ind w:firstLine="0"/>
              <w:jc w:val="right"/>
              <w:rPr>
                <w:sz w:val="20"/>
                <w:szCs w:val="20"/>
              </w:rPr>
            </w:pPr>
            <w:r w:rsidRPr="00902D10">
              <w:rPr>
                <w:sz w:val="20"/>
                <w:szCs w:val="20"/>
              </w:rPr>
              <w:t>Вход:</w:t>
            </w:r>
          </w:p>
        </w:tc>
        <w:tc>
          <w:tcPr>
            <w:tcW w:w="8357" w:type="dxa"/>
            <w:tcBorders>
              <w:top w:val="single" w:sz="4" w:space="0" w:color="auto"/>
            </w:tcBorders>
          </w:tcPr>
          <w:p w14:paraId="6B869071" w14:textId="5DF4B43E" w:rsidR="00A83253" w:rsidRPr="00902D10" w:rsidRDefault="00A83253" w:rsidP="00293F4D">
            <w:pPr>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кластеры </w:t>
            </w:r>
            <m:oMath>
              <m:r>
                <m:rPr>
                  <m:scr m:val="script"/>
                </m:rPr>
                <w:rPr>
                  <w:rFonts w:ascii="Cambria Math" w:hAnsi="Cambria Math" w:cs="Cambria Math"/>
                  <w:sz w:val="20"/>
                  <w:szCs w:val="20"/>
                </w:rPr>
                <m:t>C</m:t>
              </m:r>
            </m:oMath>
            <w:r w:rsidRPr="00902D10">
              <w:rPr>
                <w:sz w:val="20"/>
                <w:szCs w:val="20"/>
              </w:rPr>
              <w:t xml:space="preserve">, частичный порядок </w:t>
            </w:r>
            <m:oMath>
              <m:r>
                <m:rPr>
                  <m:sty m:val="p"/>
                </m:rPr>
                <w:rPr>
                  <w:rFonts w:ascii="Cambria Math" w:hAnsi="Cambria Math"/>
                  <w:sz w:val="20"/>
                  <w:szCs w:val="20"/>
                </w:rPr>
                <m:t>Π</m:t>
              </m:r>
            </m:oMath>
          </w:p>
        </w:tc>
      </w:tr>
      <w:tr w:rsidR="00A83253" w:rsidRPr="00902D10" w14:paraId="49317D22" w14:textId="77777777" w:rsidTr="008C4D6A">
        <w:tc>
          <w:tcPr>
            <w:tcW w:w="1036" w:type="dxa"/>
          </w:tcPr>
          <w:p w14:paraId="7D72F85A" w14:textId="7E6A3E86" w:rsidR="00A83253" w:rsidRPr="00902D10" w:rsidRDefault="00A83253" w:rsidP="00A83253">
            <w:pPr>
              <w:ind w:firstLine="0"/>
              <w:jc w:val="right"/>
              <w:rPr>
                <w:sz w:val="20"/>
                <w:szCs w:val="20"/>
              </w:rPr>
            </w:pPr>
            <w:r w:rsidRPr="00902D10">
              <w:rPr>
                <w:sz w:val="20"/>
                <w:szCs w:val="20"/>
              </w:rPr>
              <w:t>Выход:</w:t>
            </w:r>
          </w:p>
        </w:tc>
        <w:tc>
          <w:tcPr>
            <w:tcW w:w="8357" w:type="dxa"/>
          </w:tcPr>
          <w:p w14:paraId="3EAE8BAF" w14:textId="6B8FAE63" w:rsidR="00A83253" w:rsidRPr="00902D10" w:rsidRDefault="00A83253" w:rsidP="00293F4D">
            <w:pPr>
              <w:ind w:firstLine="0"/>
              <w:rPr>
                <w:sz w:val="20"/>
                <w:szCs w:val="20"/>
              </w:rPr>
            </w:pPr>
            <w:r w:rsidRPr="00902D10">
              <w:rPr>
                <w:sz w:val="20"/>
                <w:szCs w:val="20"/>
              </w:rPr>
              <w:t>маршрут и его стоимость</w:t>
            </w:r>
          </w:p>
        </w:tc>
      </w:tr>
      <w:tr w:rsidR="00A83253" w:rsidRPr="00902D10" w14:paraId="7BA696E9" w14:textId="77777777" w:rsidTr="008C4D6A">
        <w:tc>
          <w:tcPr>
            <w:tcW w:w="1036" w:type="dxa"/>
          </w:tcPr>
          <w:p w14:paraId="0535F409" w14:textId="77777777" w:rsidR="00A83253" w:rsidRPr="00902D10" w:rsidRDefault="00A83253" w:rsidP="008C4D6A">
            <w:pPr>
              <w:pStyle w:val="a6"/>
              <w:numPr>
                <w:ilvl w:val="0"/>
                <w:numId w:val="15"/>
              </w:numPr>
              <w:jc w:val="right"/>
              <w:rPr>
                <w:sz w:val="20"/>
                <w:szCs w:val="20"/>
              </w:rPr>
            </w:pPr>
          </w:p>
        </w:tc>
        <w:tc>
          <w:tcPr>
            <w:tcW w:w="8357" w:type="dxa"/>
          </w:tcPr>
          <w:p w14:paraId="01DFA416" w14:textId="0365A413" w:rsidR="00A83253" w:rsidRPr="00902D10" w:rsidRDefault="00A83253" w:rsidP="00293F4D">
            <w:pPr>
              <w:ind w:firstLine="0"/>
              <w:rPr>
                <w:sz w:val="20"/>
                <w:szCs w:val="20"/>
                <w:lang w:val="en-US"/>
              </w:rPr>
            </w:pPr>
            <w:r w:rsidRPr="00902D10">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A83253" w:rsidRPr="00902D10" w14:paraId="2AB79E71" w14:textId="77777777" w:rsidTr="008C4D6A">
        <w:tc>
          <w:tcPr>
            <w:tcW w:w="1036" w:type="dxa"/>
          </w:tcPr>
          <w:p w14:paraId="40F86E52" w14:textId="77777777" w:rsidR="00A83253" w:rsidRPr="00902D10" w:rsidRDefault="00A83253" w:rsidP="008C4D6A">
            <w:pPr>
              <w:pStyle w:val="a6"/>
              <w:numPr>
                <w:ilvl w:val="0"/>
                <w:numId w:val="15"/>
              </w:numPr>
              <w:jc w:val="right"/>
              <w:rPr>
                <w:sz w:val="20"/>
                <w:szCs w:val="20"/>
              </w:rPr>
            </w:pPr>
          </w:p>
        </w:tc>
        <w:tc>
          <w:tcPr>
            <w:tcW w:w="8357" w:type="dxa"/>
          </w:tcPr>
          <w:p w14:paraId="15AD0C25" w14:textId="74F25670" w:rsidR="00A83253" w:rsidRPr="00902D10" w:rsidRDefault="00A83253" w:rsidP="00293F4D">
            <w:pPr>
              <w:ind w:firstLine="0"/>
              <w:rPr>
                <w:sz w:val="20"/>
                <w:szCs w:val="20"/>
              </w:rPr>
            </w:pPr>
            <w:r w:rsidRPr="00902D10">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A83253" w:rsidRPr="00902D10" w14:paraId="6B7E93B8" w14:textId="77777777" w:rsidTr="008C4D6A">
        <w:tc>
          <w:tcPr>
            <w:tcW w:w="1036" w:type="dxa"/>
          </w:tcPr>
          <w:p w14:paraId="614614F7" w14:textId="77777777" w:rsidR="00A83253" w:rsidRPr="00902D10" w:rsidRDefault="00A83253" w:rsidP="008C4D6A">
            <w:pPr>
              <w:pStyle w:val="a6"/>
              <w:numPr>
                <w:ilvl w:val="0"/>
                <w:numId w:val="15"/>
              </w:numPr>
              <w:jc w:val="right"/>
              <w:rPr>
                <w:sz w:val="20"/>
                <w:szCs w:val="20"/>
              </w:rPr>
            </w:pPr>
          </w:p>
        </w:tc>
        <w:tc>
          <w:tcPr>
            <w:tcW w:w="8357" w:type="dxa"/>
          </w:tcPr>
          <w:p w14:paraId="589F1F3F" w14:textId="1D32DB8A" w:rsidR="00A83253" w:rsidRPr="00902D10" w:rsidRDefault="00A83253" w:rsidP="00293F4D">
            <w:pPr>
              <w:ind w:firstLine="0"/>
              <w:rPr>
                <w:rFonts w:ascii="Cambria Math" w:hAnsi="Cambria Math"/>
                <w:i/>
                <w:sz w:val="20"/>
                <w:szCs w:val="20"/>
                <w:lang w:val="en-US"/>
              </w:rPr>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A83253" w:rsidRPr="00902D10" w14:paraId="5E8C2045" w14:textId="77777777" w:rsidTr="008C4D6A">
        <w:tc>
          <w:tcPr>
            <w:tcW w:w="1036" w:type="dxa"/>
          </w:tcPr>
          <w:p w14:paraId="71F5DFE5" w14:textId="77777777" w:rsidR="00A83253" w:rsidRPr="00902D10" w:rsidRDefault="00A83253" w:rsidP="008C4D6A">
            <w:pPr>
              <w:pStyle w:val="a6"/>
              <w:numPr>
                <w:ilvl w:val="0"/>
                <w:numId w:val="15"/>
              </w:numPr>
              <w:jc w:val="right"/>
              <w:rPr>
                <w:sz w:val="20"/>
                <w:szCs w:val="20"/>
              </w:rPr>
            </w:pPr>
          </w:p>
        </w:tc>
        <w:tc>
          <w:tcPr>
            <w:tcW w:w="8357" w:type="dxa"/>
          </w:tcPr>
          <w:p w14:paraId="009B3D52" w14:textId="7C6B12CE" w:rsidR="00A83253" w:rsidRPr="00902D10" w:rsidRDefault="00A83253" w:rsidP="00293F4D">
            <w:pPr>
              <w:ind w:firstLine="0"/>
              <w:rPr>
                <w:sz w:val="20"/>
                <w:szCs w:val="20"/>
                <w:lang w:val="en-US"/>
              </w:rPr>
            </w:pPr>
            <w:r w:rsidRPr="00902D10">
              <w:rPr>
                <w:b/>
                <w:bCs/>
                <w:sz w:val="20"/>
                <w:szCs w:val="20"/>
                <w:lang w:val="en-US"/>
              </w:rPr>
              <w:t>while</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rPr>
                <m:t>Q</m:t>
              </m:r>
            </m:oMath>
            <w:r w:rsidRPr="00902D10">
              <w:rPr>
                <w:rFonts w:eastAsiaTheme="minorEastAsia"/>
                <w:sz w:val="20"/>
                <w:szCs w:val="20"/>
                <w:lang w:val="en-US"/>
              </w:rPr>
              <w:t>.empty()</w:t>
            </w:r>
          </w:p>
        </w:tc>
      </w:tr>
      <w:tr w:rsidR="00A83253" w:rsidRPr="00902D10" w14:paraId="60B9D6EB" w14:textId="77777777" w:rsidTr="008C4D6A">
        <w:tc>
          <w:tcPr>
            <w:tcW w:w="1036" w:type="dxa"/>
          </w:tcPr>
          <w:p w14:paraId="40BEDAB9" w14:textId="77777777" w:rsidR="00A83253" w:rsidRPr="00902D10" w:rsidRDefault="00A83253" w:rsidP="008C4D6A">
            <w:pPr>
              <w:pStyle w:val="a6"/>
              <w:numPr>
                <w:ilvl w:val="0"/>
                <w:numId w:val="15"/>
              </w:numPr>
              <w:jc w:val="right"/>
              <w:rPr>
                <w:sz w:val="20"/>
                <w:szCs w:val="20"/>
              </w:rPr>
            </w:pPr>
          </w:p>
        </w:tc>
        <w:tc>
          <w:tcPr>
            <w:tcW w:w="8357" w:type="dxa"/>
          </w:tcPr>
          <w:p w14:paraId="74D9C079" w14:textId="162B7EEA" w:rsidR="00A83253" w:rsidRPr="00902D10" w:rsidRDefault="00A83253" w:rsidP="00293F4D">
            <w:pPr>
              <w:ind w:firstLine="0"/>
              <w:rPr>
                <w:rFonts w:eastAsiaTheme="minorEastAsia"/>
                <w:sz w:val="20"/>
                <w:szCs w:val="20"/>
              </w:rPr>
            </w:pPr>
            <w:r w:rsidRPr="00902D10">
              <w:rPr>
                <w:sz w:val="20"/>
                <w:szCs w:val="20"/>
                <w:lang w:val="en-US"/>
              </w:rPr>
              <w:tab/>
            </w:r>
            <w:r w:rsidRPr="00902D10">
              <w:rPr>
                <w:sz w:val="20"/>
                <w:szCs w:val="20"/>
              </w:rPr>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A83253" w:rsidRPr="00902D10" w14:paraId="65C3C3A9" w14:textId="77777777" w:rsidTr="008C4D6A">
        <w:tc>
          <w:tcPr>
            <w:tcW w:w="1036" w:type="dxa"/>
          </w:tcPr>
          <w:p w14:paraId="4EA5C0D1" w14:textId="77777777" w:rsidR="00A83253" w:rsidRPr="00902D10" w:rsidRDefault="00A83253" w:rsidP="008C4D6A">
            <w:pPr>
              <w:pStyle w:val="a6"/>
              <w:numPr>
                <w:ilvl w:val="0"/>
                <w:numId w:val="15"/>
              </w:numPr>
              <w:jc w:val="right"/>
              <w:rPr>
                <w:sz w:val="20"/>
                <w:szCs w:val="20"/>
              </w:rPr>
            </w:pPr>
          </w:p>
        </w:tc>
        <w:tc>
          <w:tcPr>
            <w:tcW w:w="8357" w:type="dxa"/>
          </w:tcPr>
          <w:p w14:paraId="47E2E04D" w14:textId="6930D849" w:rsidR="00A83253" w:rsidRPr="00902D10" w:rsidRDefault="00A83253" w:rsidP="00293F4D">
            <w:pPr>
              <w:ind w:firstLine="0"/>
              <w:rPr>
                <w:sz w:val="20"/>
                <w:szCs w:val="20"/>
                <w:lang w:val="en-US"/>
              </w:rPr>
            </w:pPr>
            <w:r w:rsidRPr="00902D10">
              <w:rPr>
                <w:sz w:val="20"/>
                <w:szCs w:val="20"/>
                <w:lang w:val="en-US"/>
              </w:rPr>
              <w:tab/>
            </w:r>
            <m:oMath>
              <m:r>
                <w:rPr>
                  <w:rFonts w:ascii="Cambria Math" w:hAnsi="Cambria Math"/>
                  <w:sz w:val="20"/>
                  <w:szCs w:val="20"/>
                  <w:lang w:val="en-US"/>
                </w:rPr>
                <m:t>process=Bound(σ)</m:t>
              </m:r>
            </m:oMath>
          </w:p>
        </w:tc>
      </w:tr>
      <w:tr w:rsidR="00A83253" w:rsidRPr="00902D10" w14:paraId="5A833FFB" w14:textId="77777777" w:rsidTr="008C4D6A">
        <w:tc>
          <w:tcPr>
            <w:tcW w:w="1036" w:type="dxa"/>
          </w:tcPr>
          <w:p w14:paraId="24DE51DF" w14:textId="77777777" w:rsidR="00A83253" w:rsidRPr="00902D10" w:rsidRDefault="00A83253" w:rsidP="008C4D6A">
            <w:pPr>
              <w:pStyle w:val="a6"/>
              <w:numPr>
                <w:ilvl w:val="0"/>
                <w:numId w:val="15"/>
              </w:numPr>
              <w:jc w:val="right"/>
              <w:rPr>
                <w:sz w:val="20"/>
                <w:szCs w:val="20"/>
              </w:rPr>
            </w:pPr>
          </w:p>
        </w:tc>
        <w:tc>
          <w:tcPr>
            <w:tcW w:w="8357" w:type="dxa"/>
          </w:tcPr>
          <w:p w14:paraId="7FF7A509" w14:textId="5792830B" w:rsidR="00A83253" w:rsidRPr="00902D10" w:rsidRDefault="001A39F0" w:rsidP="001A39F0">
            <w:pPr>
              <w:ind w:firstLine="0"/>
              <w:rPr>
                <w:sz w:val="20"/>
                <w:szCs w:val="20"/>
                <w:lang w:val="en-US"/>
              </w:rPr>
            </w:pPr>
            <w:r w:rsidRPr="00902D10">
              <w:rPr>
                <w:sz w:val="20"/>
                <w:szCs w:val="20"/>
                <w:lang w:val="en-US"/>
              </w:rPr>
              <w:tab/>
            </w:r>
            <w:r w:rsidRPr="00902D10">
              <w:rPr>
                <w:b/>
                <w:bCs/>
                <w:sz w:val="20"/>
                <w:szCs w:val="20"/>
                <w:lang w:val="en-US"/>
              </w:rPr>
              <w:t>if</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lang w:val="en-US"/>
                </w:rPr>
                <m:t>process</m:t>
              </m:r>
            </m:oMath>
            <w:r w:rsidRPr="00902D10">
              <w:rPr>
                <w:rFonts w:eastAsiaTheme="minorEastAsia"/>
                <w:sz w:val="20"/>
                <w:szCs w:val="20"/>
                <w:lang w:val="en-US"/>
              </w:rPr>
              <w:t xml:space="preserve"> </w:t>
            </w:r>
            <w:r w:rsidRPr="00902D10">
              <w:rPr>
                <w:rFonts w:eastAsiaTheme="minorEastAsia"/>
                <w:b/>
                <w:bCs/>
                <w:sz w:val="20"/>
                <w:szCs w:val="20"/>
                <w:lang w:val="en-US"/>
              </w:rPr>
              <w:t>then</w:t>
            </w:r>
          </w:p>
        </w:tc>
      </w:tr>
      <w:tr w:rsidR="001A39F0" w:rsidRPr="00902D10" w14:paraId="235B7D38" w14:textId="77777777" w:rsidTr="008C4D6A">
        <w:tc>
          <w:tcPr>
            <w:tcW w:w="1036" w:type="dxa"/>
          </w:tcPr>
          <w:p w14:paraId="36F34D73" w14:textId="77777777" w:rsidR="001A39F0" w:rsidRPr="00902D10" w:rsidRDefault="001A39F0" w:rsidP="008C4D6A">
            <w:pPr>
              <w:pStyle w:val="a6"/>
              <w:numPr>
                <w:ilvl w:val="0"/>
                <w:numId w:val="15"/>
              </w:numPr>
              <w:jc w:val="right"/>
              <w:rPr>
                <w:sz w:val="20"/>
                <w:szCs w:val="20"/>
              </w:rPr>
            </w:pPr>
          </w:p>
        </w:tc>
        <w:tc>
          <w:tcPr>
            <w:tcW w:w="8357" w:type="dxa"/>
          </w:tcPr>
          <w:p w14:paraId="2EEF09E6" w14:textId="554060EB" w:rsidR="001A39F0" w:rsidRPr="00902D10" w:rsidRDefault="001A39F0" w:rsidP="001A39F0">
            <w:pPr>
              <w:ind w:firstLine="0"/>
              <w:rPr>
                <w:sz w:val="20"/>
                <w:szCs w:val="20"/>
                <w:lang w:val="en-US"/>
              </w:rPr>
            </w:pPr>
            <w:r w:rsidRPr="00902D10">
              <w:rPr>
                <w:sz w:val="20"/>
                <w:szCs w:val="20"/>
                <w:lang w:val="en-US"/>
              </w:rPr>
              <w:tab/>
            </w:r>
            <w:r w:rsidRPr="00902D10">
              <w:rPr>
                <w:sz w:val="20"/>
                <w:szCs w:val="20"/>
                <w:lang w:val="en-US"/>
              </w:rPr>
              <w:tab/>
            </w:r>
            <w:r w:rsidRPr="00902D10">
              <w:rPr>
                <w:sz w:val="20"/>
                <w:szCs w:val="20"/>
              </w:rPr>
              <w:t>Префикс отсекается</w:t>
            </w:r>
            <w:r w:rsidRPr="00902D10">
              <w:rPr>
                <w:sz w:val="20"/>
                <w:szCs w:val="20"/>
                <w:lang w:val="en-US"/>
              </w:rPr>
              <w:t xml:space="preserve">; </w:t>
            </w:r>
            <w:r w:rsidRPr="00902D10">
              <w:rPr>
                <w:b/>
                <w:bCs/>
                <w:sz w:val="20"/>
                <w:szCs w:val="20"/>
                <w:lang w:val="en-US"/>
              </w:rPr>
              <w:t>continue</w:t>
            </w:r>
          </w:p>
        </w:tc>
      </w:tr>
      <w:tr w:rsidR="001A39F0" w:rsidRPr="00902D10" w14:paraId="5BC7D1E1" w14:textId="77777777" w:rsidTr="008C4D6A">
        <w:tc>
          <w:tcPr>
            <w:tcW w:w="1036" w:type="dxa"/>
          </w:tcPr>
          <w:p w14:paraId="4EDB8993" w14:textId="77777777" w:rsidR="001A39F0" w:rsidRPr="00902D10" w:rsidRDefault="001A39F0" w:rsidP="008C4D6A">
            <w:pPr>
              <w:pStyle w:val="a6"/>
              <w:numPr>
                <w:ilvl w:val="0"/>
                <w:numId w:val="15"/>
              </w:numPr>
              <w:jc w:val="right"/>
              <w:rPr>
                <w:sz w:val="20"/>
                <w:szCs w:val="20"/>
              </w:rPr>
            </w:pPr>
          </w:p>
        </w:tc>
        <w:tc>
          <w:tcPr>
            <w:tcW w:w="8357" w:type="dxa"/>
          </w:tcPr>
          <w:p w14:paraId="5739B454" w14:textId="51B0FE57" w:rsidR="001A39F0" w:rsidRPr="00902D10" w:rsidRDefault="001A39F0" w:rsidP="001A39F0">
            <w:pPr>
              <w:ind w:firstLine="0"/>
              <w:rPr>
                <w:b/>
                <w:bCs/>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if</w:t>
            </w:r>
          </w:p>
        </w:tc>
      </w:tr>
      <w:tr w:rsidR="001A39F0" w:rsidRPr="00902D10" w14:paraId="1C0BEF91" w14:textId="77777777" w:rsidTr="008C4D6A">
        <w:tc>
          <w:tcPr>
            <w:tcW w:w="1036" w:type="dxa"/>
          </w:tcPr>
          <w:p w14:paraId="3523BA55" w14:textId="77777777" w:rsidR="001A39F0" w:rsidRPr="00902D10" w:rsidRDefault="001A39F0" w:rsidP="008C4D6A">
            <w:pPr>
              <w:pStyle w:val="a6"/>
              <w:numPr>
                <w:ilvl w:val="0"/>
                <w:numId w:val="15"/>
              </w:numPr>
              <w:jc w:val="right"/>
              <w:rPr>
                <w:sz w:val="20"/>
                <w:szCs w:val="20"/>
              </w:rPr>
            </w:pPr>
          </w:p>
        </w:tc>
        <w:tc>
          <w:tcPr>
            <w:tcW w:w="8357" w:type="dxa"/>
          </w:tcPr>
          <w:p w14:paraId="36B0146A" w14:textId="12FB92EB" w:rsidR="001A39F0" w:rsidRPr="00902D10" w:rsidRDefault="001A39F0" w:rsidP="001A39F0">
            <w:pPr>
              <w:ind w:firstLine="0"/>
              <w:rPr>
                <w:sz w:val="20"/>
                <w:szCs w:val="20"/>
                <w:lang w:val="en-US"/>
              </w:rPr>
            </w:pPr>
            <w:r w:rsidRPr="00902D10">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1A39F0" w:rsidRPr="00902D10" w14:paraId="13B763BF" w14:textId="77777777" w:rsidTr="008C4D6A">
        <w:tc>
          <w:tcPr>
            <w:tcW w:w="1036" w:type="dxa"/>
          </w:tcPr>
          <w:p w14:paraId="6FD38B02" w14:textId="77777777" w:rsidR="001A39F0" w:rsidRPr="00902D10" w:rsidRDefault="001A39F0" w:rsidP="008C4D6A">
            <w:pPr>
              <w:pStyle w:val="a6"/>
              <w:numPr>
                <w:ilvl w:val="0"/>
                <w:numId w:val="15"/>
              </w:numPr>
              <w:jc w:val="right"/>
              <w:rPr>
                <w:sz w:val="20"/>
                <w:szCs w:val="20"/>
              </w:rPr>
            </w:pPr>
          </w:p>
        </w:tc>
        <w:tc>
          <w:tcPr>
            <w:tcW w:w="8357" w:type="dxa"/>
          </w:tcPr>
          <w:p w14:paraId="2188AF3C" w14:textId="3F1C6635" w:rsidR="001A39F0" w:rsidRPr="00902D10" w:rsidRDefault="001A39F0" w:rsidP="001A39F0">
            <w:pPr>
              <w:ind w:firstLine="0"/>
              <w:rPr>
                <w:sz w:val="20"/>
                <w:szCs w:val="20"/>
                <w:lang w:val="en-US"/>
              </w:rPr>
            </w:pPr>
            <w:r w:rsidRPr="00902D10">
              <w:rPr>
                <w:sz w:val="20"/>
                <w:szCs w:val="20"/>
                <w:lang w:val="en-US"/>
              </w:rPr>
              <w:tab/>
              <w:t xml:space="preserve">for all </w:t>
            </w:r>
            <m:oMath>
              <m:r>
                <w:rPr>
                  <w:rFonts w:ascii="Cambria Math" w:hAnsi="Cambria Math"/>
                  <w:sz w:val="20"/>
                  <w:szCs w:val="20"/>
                  <w:lang w:val="en-US"/>
                </w:rPr>
                <m:t>child∈Branch(σ)</m:t>
              </m:r>
            </m:oMath>
            <w:r w:rsidRPr="00902D10">
              <w:rPr>
                <w:rFonts w:eastAsiaTheme="minorEastAsia"/>
                <w:sz w:val="20"/>
                <w:szCs w:val="20"/>
                <w:lang w:val="en-US"/>
              </w:rPr>
              <w:t xml:space="preserve"> </w:t>
            </w:r>
            <w:r w:rsidRPr="00902D10">
              <w:rPr>
                <w:rFonts w:eastAsiaTheme="minorEastAsia"/>
                <w:b/>
                <w:bCs/>
                <w:sz w:val="20"/>
                <w:szCs w:val="20"/>
                <w:lang w:val="en-US"/>
              </w:rPr>
              <w:t>do</w:t>
            </w:r>
          </w:p>
        </w:tc>
      </w:tr>
      <w:tr w:rsidR="001A39F0" w:rsidRPr="00902D10" w14:paraId="02AC2BA4" w14:textId="77777777" w:rsidTr="008C4D6A">
        <w:tc>
          <w:tcPr>
            <w:tcW w:w="1036" w:type="dxa"/>
          </w:tcPr>
          <w:p w14:paraId="71067FAC" w14:textId="77777777" w:rsidR="001A39F0" w:rsidRPr="00902D10" w:rsidRDefault="001A39F0" w:rsidP="008C4D6A">
            <w:pPr>
              <w:pStyle w:val="a6"/>
              <w:numPr>
                <w:ilvl w:val="0"/>
                <w:numId w:val="15"/>
              </w:numPr>
              <w:jc w:val="right"/>
              <w:rPr>
                <w:sz w:val="20"/>
                <w:szCs w:val="20"/>
              </w:rPr>
            </w:pPr>
          </w:p>
        </w:tc>
        <w:tc>
          <w:tcPr>
            <w:tcW w:w="8357" w:type="dxa"/>
          </w:tcPr>
          <w:p w14:paraId="215CDD8D" w14:textId="069E8A17" w:rsidR="001A39F0" w:rsidRPr="00902D10" w:rsidRDefault="001A39F0" w:rsidP="001A39F0">
            <w:pPr>
              <w:ind w:firstLine="0"/>
              <w:rPr>
                <w:rFonts w:eastAsiaTheme="minorEastAsia"/>
                <w:sz w:val="20"/>
                <w:szCs w:val="20"/>
              </w:rPr>
            </w:pPr>
            <w:r w:rsidRPr="00902D10">
              <w:rPr>
                <w:sz w:val="20"/>
                <w:szCs w:val="20"/>
                <w:lang w:val="en-US"/>
              </w:rPr>
              <w:tab/>
            </w:r>
            <w:r w:rsidRPr="00902D10">
              <w:rPr>
                <w:sz w:val="20"/>
                <w:szCs w:val="20"/>
                <w:lang w:val="en-US"/>
              </w:rPr>
              <w:tab/>
            </w:r>
            <w:r w:rsidRPr="00902D10">
              <w:rPr>
                <w:sz w:val="20"/>
                <w:szCs w:val="20"/>
              </w:rPr>
              <w:t xml:space="preserve">Помещаем префикс в очередь на обработку </w:t>
            </w:r>
            <m:oMath>
              <m:r>
                <w:rPr>
                  <w:rFonts w:ascii="Cambria Math" w:hAnsi="Cambria Math"/>
                  <w:sz w:val="20"/>
                  <w:szCs w:val="20"/>
                </w:rPr>
                <m:t>Q</m:t>
              </m:r>
            </m:oMath>
            <w:r w:rsidRPr="00902D10">
              <w:rPr>
                <w:rFonts w:eastAsiaTheme="minorEastAsia"/>
                <w:sz w:val="20"/>
                <w:szCs w:val="20"/>
              </w:rPr>
              <w:t>.</w:t>
            </w:r>
            <w:r w:rsidRPr="00902D10">
              <w:rPr>
                <w:rFonts w:eastAsiaTheme="minorEastAsia"/>
                <w:sz w:val="20"/>
                <w:szCs w:val="20"/>
                <w:lang w:val="en-US"/>
              </w:rPr>
              <w:t>push</w:t>
            </w:r>
            <w:r w:rsidRPr="00902D10">
              <w:rPr>
                <w:rFonts w:eastAsiaTheme="minorEastAsia"/>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sidRPr="00902D10">
              <w:rPr>
                <w:rFonts w:eastAsiaTheme="minorEastAsia"/>
                <w:sz w:val="20"/>
                <w:szCs w:val="20"/>
              </w:rPr>
              <w:t>)</w:t>
            </w:r>
          </w:p>
        </w:tc>
      </w:tr>
      <w:tr w:rsidR="001A39F0" w:rsidRPr="00902D10" w14:paraId="66CE0751" w14:textId="77777777" w:rsidTr="008C4D6A">
        <w:tc>
          <w:tcPr>
            <w:tcW w:w="1036" w:type="dxa"/>
          </w:tcPr>
          <w:p w14:paraId="3F27D26B" w14:textId="77777777" w:rsidR="001A39F0" w:rsidRPr="00902D10" w:rsidRDefault="001A39F0" w:rsidP="008C4D6A">
            <w:pPr>
              <w:pStyle w:val="a6"/>
              <w:numPr>
                <w:ilvl w:val="0"/>
                <w:numId w:val="15"/>
              </w:numPr>
              <w:jc w:val="right"/>
              <w:rPr>
                <w:sz w:val="20"/>
                <w:szCs w:val="20"/>
              </w:rPr>
            </w:pPr>
          </w:p>
        </w:tc>
        <w:tc>
          <w:tcPr>
            <w:tcW w:w="8357" w:type="dxa"/>
          </w:tcPr>
          <w:p w14:paraId="75C02165" w14:textId="16336F45" w:rsidR="001A39F0" w:rsidRPr="00902D10" w:rsidRDefault="001A39F0" w:rsidP="001A39F0">
            <w:pPr>
              <w:ind w:firstLine="0"/>
              <w:rPr>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for</w:t>
            </w:r>
          </w:p>
        </w:tc>
      </w:tr>
      <w:tr w:rsidR="001A39F0" w:rsidRPr="00902D10" w14:paraId="3CD0E831" w14:textId="77777777" w:rsidTr="008C4D6A">
        <w:tc>
          <w:tcPr>
            <w:tcW w:w="1036" w:type="dxa"/>
            <w:tcBorders>
              <w:bottom w:val="single" w:sz="4" w:space="0" w:color="auto"/>
            </w:tcBorders>
          </w:tcPr>
          <w:p w14:paraId="09CBD37E" w14:textId="77777777" w:rsidR="001A39F0" w:rsidRPr="00902D10" w:rsidRDefault="001A39F0" w:rsidP="008C4D6A">
            <w:pPr>
              <w:pStyle w:val="a6"/>
              <w:numPr>
                <w:ilvl w:val="0"/>
                <w:numId w:val="15"/>
              </w:numPr>
              <w:jc w:val="right"/>
              <w:rPr>
                <w:sz w:val="20"/>
                <w:szCs w:val="20"/>
              </w:rPr>
            </w:pPr>
          </w:p>
        </w:tc>
        <w:tc>
          <w:tcPr>
            <w:tcW w:w="8357" w:type="dxa"/>
            <w:tcBorders>
              <w:bottom w:val="single" w:sz="4" w:space="0" w:color="auto"/>
            </w:tcBorders>
          </w:tcPr>
          <w:p w14:paraId="6B7D3115" w14:textId="4D069844" w:rsidR="001A39F0" w:rsidRPr="00902D10" w:rsidRDefault="001A39F0" w:rsidP="001A39F0">
            <w:pPr>
              <w:ind w:firstLine="0"/>
              <w:rPr>
                <w:b/>
                <w:bCs/>
                <w:sz w:val="20"/>
                <w:szCs w:val="20"/>
                <w:lang w:val="en-US"/>
              </w:rPr>
            </w:pPr>
            <w:r w:rsidRPr="00902D10">
              <w:rPr>
                <w:b/>
                <w:bCs/>
                <w:sz w:val="20"/>
                <w:szCs w:val="20"/>
                <w:lang w:val="en-US"/>
              </w:rPr>
              <w:t>end while</w:t>
            </w:r>
          </w:p>
        </w:tc>
      </w:tr>
    </w:tbl>
    <w:p w14:paraId="3AF2BED2" w14:textId="77777777" w:rsidR="00A83253" w:rsidRPr="001A39F0" w:rsidRDefault="00A83253" w:rsidP="00293F4D"/>
    <w:sectPr w:rsidR="00A83253" w:rsidRPr="001A39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B78E2" w14:textId="77777777" w:rsidR="00495456" w:rsidRDefault="00495456" w:rsidP="00030F02">
      <w:pPr>
        <w:spacing w:line="240" w:lineRule="auto"/>
      </w:pPr>
      <w:r>
        <w:separator/>
      </w:r>
    </w:p>
  </w:endnote>
  <w:endnote w:type="continuationSeparator" w:id="0">
    <w:p w14:paraId="0E156732" w14:textId="77777777" w:rsidR="00495456" w:rsidRDefault="00495456"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C7F7A" w14:textId="77777777" w:rsidR="00495456" w:rsidRDefault="00495456" w:rsidP="00030F02">
      <w:pPr>
        <w:spacing w:line="240" w:lineRule="auto"/>
      </w:pPr>
      <w:r>
        <w:separator/>
      </w:r>
    </w:p>
  </w:footnote>
  <w:footnote w:type="continuationSeparator" w:id="0">
    <w:p w14:paraId="59188910" w14:textId="77777777" w:rsidR="00495456" w:rsidRDefault="00495456" w:rsidP="00030F02">
      <w:pPr>
        <w:spacing w:line="240" w:lineRule="auto"/>
      </w:pPr>
      <w:r>
        <w:continuationSeparator/>
      </w:r>
    </w:p>
  </w:footnote>
  <w:footnote w:id="1">
    <w:p w14:paraId="62E3D4EA" w14:textId="2DDAC1FF" w:rsidR="00A83253" w:rsidRDefault="00A83253">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6CDC056F"/>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8"/>
  </w:num>
  <w:num w:numId="2">
    <w:abstractNumId w:val="11"/>
  </w:num>
  <w:num w:numId="3">
    <w:abstractNumId w:val="4"/>
  </w:num>
  <w:num w:numId="4">
    <w:abstractNumId w:val="5"/>
  </w:num>
  <w:num w:numId="5">
    <w:abstractNumId w:val="9"/>
  </w:num>
  <w:num w:numId="6">
    <w:abstractNumId w:val="10"/>
  </w:num>
  <w:num w:numId="7">
    <w:abstractNumId w:val="14"/>
  </w:num>
  <w:num w:numId="8">
    <w:abstractNumId w:val="1"/>
  </w:num>
  <w:num w:numId="9">
    <w:abstractNumId w:val="6"/>
  </w:num>
  <w:num w:numId="10">
    <w:abstractNumId w:val="12"/>
  </w:num>
  <w:num w:numId="11">
    <w:abstractNumId w:val="0"/>
  </w:num>
  <w:num w:numId="12">
    <w:abstractNumId w:val="3"/>
  </w:num>
  <w:num w:numId="13">
    <w:abstractNumId w:val="7"/>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6017"/>
    <w:rsid w:val="00075C5B"/>
    <w:rsid w:val="000C08ED"/>
    <w:rsid w:val="000E5349"/>
    <w:rsid w:val="000F72A9"/>
    <w:rsid w:val="001768F8"/>
    <w:rsid w:val="001A39F0"/>
    <w:rsid w:val="00216FA2"/>
    <w:rsid w:val="002835D0"/>
    <w:rsid w:val="00293F4D"/>
    <w:rsid w:val="002B1C14"/>
    <w:rsid w:val="002D5813"/>
    <w:rsid w:val="002E1888"/>
    <w:rsid w:val="0033547A"/>
    <w:rsid w:val="00390EE7"/>
    <w:rsid w:val="003B7206"/>
    <w:rsid w:val="003C755F"/>
    <w:rsid w:val="003E292B"/>
    <w:rsid w:val="00495456"/>
    <w:rsid w:val="004A7C94"/>
    <w:rsid w:val="004E6A95"/>
    <w:rsid w:val="00550D04"/>
    <w:rsid w:val="005904B0"/>
    <w:rsid w:val="00653FD6"/>
    <w:rsid w:val="007568B6"/>
    <w:rsid w:val="007B1201"/>
    <w:rsid w:val="008508BE"/>
    <w:rsid w:val="00873852"/>
    <w:rsid w:val="00896A0B"/>
    <w:rsid w:val="008C4D6A"/>
    <w:rsid w:val="008F4A8C"/>
    <w:rsid w:val="00902D10"/>
    <w:rsid w:val="00A83253"/>
    <w:rsid w:val="00A923B1"/>
    <w:rsid w:val="00AF1495"/>
    <w:rsid w:val="00AF263E"/>
    <w:rsid w:val="00AF5D22"/>
    <w:rsid w:val="00AF6B0F"/>
    <w:rsid w:val="00B21B74"/>
    <w:rsid w:val="00B869B5"/>
    <w:rsid w:val="00BB1C37"/>
    <w:rsid w:val="00BD0199"/>
    <w:rsid w:val="00CC221B"/>
    <w:rsid w:val="00D46DBC"/>
    <w:rsid w:val="00D53095"/>
    <w:rsid w:val="00D84AFD"/>
    <w:rsid w:val="00DB105F"/>
    <w:rsid w:val="00DB598F"/>
    <w:rsid w:val="00E4249B"/>
    <w:rsid w:val="00F6016B"/>
    <w:rsid w:val="00F622EA"/>
    <w:rsid w:val="00F7110A"/>
    <w:rsid w:val="00F943E7"/>
    <w:rsid w:val="00FA0109"/>
    <w:rsid w:val="00FB6609"/>
    <w:rsid w:val="00FC0CE3"/>
    <w:rsid w:val="00FC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83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04854">
      <w:bodyDiv w:val="1"/>
      <w:marLeft w:val="0"/>
      <w:marRight w:val="0"/>
      <w:marTop w:val="0"/>
      <w:marBottom w:val="0"/>
      <w:divBdr>
        <w:top w:val="none" w:sz="0" w:space="0" w:color="auto"/>
        <w:left w:val="none" w:sz="0" w:space="0" w:color="auto"/>
        <w:bottom w:val="none" w:sz="0" w:space="0" w:color="auto"/>
        <w:right w:val="none" w:sz="0" w:space="0" w:color="auto"/>
      </w:divBdr>
      <w:divsChild>
        <w:div w:id="1603221582">
          <w:marLeft w:val="0"/>
          <w:marRight w:val="0"/>
          <w:marTop w:val="0"/>
          <w:marBottom w:val="0"/>
          <w:divBdr>
            <w:top w:val="none" w:sz="0" w:space="0" w:color="auto"/>
            <w:left w:val="none" w:sz="0" w:space="0" w:color="auto"/>
            <w:bottom w:val="none" w:sz="0" w:space="0" w:color="auto"/>
            <w:right w:val="none" w:sz="0" w:space="0" w:color="auto"/>
          </w:divBdr>
          <w:divsChild>
            <w:div w:id="2041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2070</Words>
  <Characters>11804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48</cp:revision>
  <dcterms:created xsi:type="dcterms:W3CDTF">2021-09-13T04:47:00Z</dcterms:created>
  <dcterms:modified xsi:type="dcterms:W3CDTF">2021-09-13T11:08:00Z</dcterms:modified>
</cp:coreProperties>
</file>