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ЕИСУ</w:t>
            </w:r>
          </w:p>
          <w:p w:rsidR="009070FD" w:rsidRPr="00AD7E53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</w:t>
            </w:r>
            <w:r w:rsidR="00CB4994">
              <w:rPr>
                <w:rFonts w:ascii="Times New Roman" w:hAnsi="Times New Roman"/>
                <w:sz w:val="24"/>
                <w:szCs w:val="24"/>
              </w:rPr>
              <w:t> 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18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Уколов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Станислав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Сергеевич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8720C" w:rsidRPr="00E8720C">
        <w:rPr>
          <w:rFonts w:ascii="Times New Roman" w:hAnsi="Times New Roman"/>
          <w:sz w:val="24"/>
          <w:szCs w:val="24"/>
        </w:rPr>
        <w:t xml:space="preserve">по направлению 09.06.01 Информатика и вычислительная техника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</w:t>
      </w:r>
      <w:r w:rsidR="00353F8F">
        <w:rPr>
          <w:rFonts w:ascii="Times New Roman" w:hAnsi="Times New Roman"/>
          <w:sz w:val="24"/>
          <w:szCs w:val="24"/>
        </w:rPr>
        <w:t>ё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0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0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7C0EB3">
        <w:rPr>
          <w:rFonts w:ascii="Times New Roman" w:hAnsi="Times New Roman"/>
          <w:sz w:val="24"/>
          <w:szCs w:val="24"/>
          <w:lang w:eastAsia="ru-RU"/>
        </w:rPr>
        <w:t> 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37553A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116998">
        <w:rPr>
          <w:rFonts w:ascii="Times New Roman" w:hAnsi="Times New Roman"/>
          <w:sz w:val="24"/>
          <w:szCs w:val="24"/>
        </w:rPr>
        <w:t>№ 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8C727C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1259</w:t>
      </w:r>
      <w:r w:rsidR="0026362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0003E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 w:rsidR="00F0003E">
        <w:rPr>
          <w:rFonts w:ascii="Times New Roman" w:hAnsi="Times New Roman"/>
          <w:sz w:val="24"/>
          <w:szCs w:val="24"/>
        </w:rPr>
        <w:t> 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7F1C17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72D4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6172D4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изучение отечественного и зарубежного опыта педагогической деятельности в избранной области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проведение образовательного процесса при обучении избранным дисциплинам с использованием современных педагогических технологий и виртуальных обучающих сред; концепции непрерывного образования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t>разработка авторских учебных программ, методов и различных форм обучения</w:t>
            </w:r>
          </w:p>
          <w:p w:rsidR="002C5C93" w:rsidRPr="00DC08B3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C07338">
              <w:rPr>
                <w:sz w:val="24"/>
              </w:rPr>
              <w:t>разработка различных форм контроля и различных шкал оценивания знаний обучающихся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системное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понимание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состояния,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проблематики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роли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повышения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конкурентоспособности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совершенствования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экономического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страны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(ПК-1);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вести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разработки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создания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математического,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информационного,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алгоритмического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программного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обеспечения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информационных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реализации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(ПК-2);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методологию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проектирования,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формализованное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описание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алгоритмизацию,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оптимизацию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имитационное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моделирование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функционирования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построении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компьютерной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(ПК-3);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сбор,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обработку,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систематизацию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теме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выбор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(ПК-4);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синтезу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технических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моделей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структурных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решений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человеко-машинных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предназначенных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производства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необходимых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этого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обработки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данных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(ПК-5);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передовых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создания,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внедрения,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сопровождения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эксплуатации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(ПК-6);</w:t>
      </w:r>
    </w:p>
    <w:p w:rsidR="002239A6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передавать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накопленный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опыт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коллегам,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сообществам,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организациям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создания,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внедрения,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сопровождения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эксплуатации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</w:t>
      </w:r>
      <w:r w:rsidR="005B4151" w:rsidRPr="00DE7958">
        <w:rPr>
          <w:sz w:val="24"/>
        </w:rPr>
        <w:t>7</w:t>
      </w:r>
      <w:r w:rsidRPr="00DE7958">
        <w:rPr>
          <w:sz w:val="24"/>
        </w:rPr>
        <w:t>).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374"/>
        <w:gridCol w:w="6443"/>
      </w:tblGrid>
      <w:tr w:rsidR="008B5D08" w:rsidRPr="00D44171" w:rsidTr="00CF2E01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результата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056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3264" w:type="pct"/>
            <w:vAlign w:val="center"/>
          </w:tcPr>
          <w:p w:rsidR="008B5D08" w:rsidRPr="00C70382" w:rsidRDefault="008B5D08" w:rsidP="00C70382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формируемые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рамках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достижения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CF2E01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056" w:type="pct"/>
          </w:tcPr>
          <w:p w:rsidR="002A6CAD" w:rsidRPr="00D44171" w:rsidRDefault="002A6CAD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подход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критический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научно-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изучения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состояния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проблем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</w:p>
        </w:tc>
        <w:tc>
          <w:tcPr>
            <w:tcW w:w="3264" w:type="pct"/>
          </w:tcPr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следовать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этическим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нормам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(ОПК-4);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объективно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оценивать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выполненных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специалистами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учреждениях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полученные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высоком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уровне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учетом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соблюдения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(ОПК-6);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B5D08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CF2E01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056" w:type="pct"/>
          </w:tcPr>
          <w:p w:rsidR="008B5D08" w:rsidRPr="00D44171" w:rsidDel="008B5D08" w:rsidRDefault="008A16FF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новые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разработок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основ,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алгоритмов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построения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компьютерных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принятия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ТП)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(АСУП)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коммуникации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государственном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иностранном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языках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8B5D08" w:rsidRPr="00D44171" w:rsidTr="00CF2E01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056" w:type="pct"/>
          </w:tcPr>
          <w:p w:rsidR="008B5D08" w:rsidRPr="00D44171" w:rsidDel="008B5D08" w:rsidRDefault="005365AB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анализировать,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обрабатывать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ях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применению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самостоятельной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(ОПК-3);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6" w:type="pct"/>
          </w:tcPr>
          <w:p w:rsidR="00DE1DE4" w:rsidRPr="00D44171" w:rsidDel="008B5D08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инструментов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комплексные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междисциплинарные,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целостного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мировоззрения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знаний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истории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философии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участвовать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российских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международных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научно-образовательных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формализованное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алгоритмизацию,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оптимизацию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имитационное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моделирование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функционирования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построении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компьютерной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6" w:type="pct"/>
          </w:tcPr>
          <w:p w:rsidR="00DE1DE4" w:rsidRPr="00D44171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формировать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гипотезы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актуальную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перспективных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направлений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проведения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патентных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лицензирования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защиты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инновационных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продуктов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(ОПК-7);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преподавательской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(ОПК-8);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(ПК-5).</w:t>
            </w:r>
          </w:p>
        </w:tc>
      </w:tr>
      <w:tr w:rsidR="00461C90" w:rsidRPr="00D44171" w:rsidTr="00CF2E01">
        <w:trPr>
          <w:trHeight w:val="174"/>
        </w:trPr>
        <w:tc>
          <w:tcPr>
            <w:tcW w:w="680" w:type="pct"/>
          </w:tcPr>
          <w:p w:rsidR="00461C90" w:rsidRPr="00461C90" w:rsidRDefault="00461C90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РО-6</w:t>
            </w:r>
          </w:p>
        </w:tc>
        <w:tc>
          <w:tcPr>
            <w:tcW w:w="1056" w:type="pct"/>
          </w:tcPr>
          <w:p w:rsidR="00461C90" w:rsidRPr="00D44171" w:rsidRDefault="00461C90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4C01">
              <w:rPr>
                <w:rFonts w:ascii="Times New Roman" w:hAnsi="Times New Roman"/>
                <w:sz w:val="24"/>
              </w:rPr>
              <w:t>Способность использовать результаты научных исследований при разработке учебно-</w:t>
            </w:r>
            <w:r w:rsidRPr="00674C01">
              <w:rPr>
                <w:rFonts w:ascii="Times New Roman" w:hAnsi="Times New Roman"/>
                <w:sz w:val="24"/>
              </w:rPr>
              <w:lastRenderedPageBreak/>
              <w:t>методического обеспечения преподавательской деятельности по направлению, соответствующему выбранной направленности (научной специальности)</w:t>
            </w:r>
          </w:p>
        </w:tc>
        <w:tc>
          <w:tcPr>
            <w:tcW w:w="3264" w:type="pct"/>
          </w:tcPr>
          <w:p w:rsidR="00461C90" w:rsidRDefault="00461C90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Г</w:t>
            </w:r>
            <w:r w:rsidRPr="00461C90">
              <w:rPr>
                <w:rFonts w:ascii="Times New Roman" w:hAnsi="Times New Roman"/>
                <w:sz w:val="24"/>
                <w:szCs w:val="24"/>
              </w:rPr>
              <w:t>отовность использовать современные методы и технологии научной коммуникации на государственном и иностранном языках (УК-4)</w:t>
            </w:r>
          </w:p>
          <w:p w:rsidR="00461C90" w:rsidRPr="00461C90" w:rsidRDefault="00461C90" w:rsidP="00461C90">
            <w:pPr>
              <w:pStyle w:val="af2"/>
              <w:numPr>
                <w:ilvl w:val="0"/>
                <w:numId w:val="16"/>
              </w:numPr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</w:t>
            </w:r>
            <w:r w:rsidRPr="00461C90">
              <w:rPr>
                <w:rFonts w:eastAsia="Calibri"/>
                <w:sz w:val="24"/>
                <w:lang w:eastAsia="en-US"/>
              </w:rPr>
              <w:t xml:space="preserve">пособность планировать и решать задачи собственного </w:t>
            </w:r>
            <w:r w:rsidRPr="00461C90">
              <w:rPr>
                <w:rFonts w:eastAsia="Calibri"/>
                <w:sz w:val="24"/>
                <w:lang w:eastAsia="en-US"/>
              </w:rPr>
              <w:lastRenderedPageBreak/>
              <w:t>профессионального и личностного развития (УК-6)</w:t>
            </w:r>
          </w:p>
          <w:p w:rsidR="00531924" w:rsidRPr="00531924" w:rsidRDefault="00531924" w:rsidP="00531924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531924">
              <w:rPr>
                <w:rFonts w:ascii="Times New Roman" w:hAnsi="Times New Roman"/>
                <w:sz w:val="24"/>
                <w:szCs w:val="24"/>
              </w:rPr>
              <w:t>пособность представлять полученные результаты научно-исследовательской деятельности на высоком уровне и с учетом соблюдения авторских прав (ОПК-6)</w:t>
            </w:r>
          </w:p>
          <w:p w:rsidR="00531924" w:rsidRPr="00531924" w:rsidRDefault="00531924" w:rsidP="00531924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531924">
              <w:rPr>
                <w:rFonts w:ascii="Times New Roman" w:hAnsi="Times New Roman"/>
                <w:sz w:val="24"/>
                <w:szCs w:val="24"/>
              </w:rPr>
              <w:t>отовность к преподавательской деятельности по основным образовательным программам высшего образования (ОПК-8).</w:t>
            </w:r>
          </w:p>
          <w:p w:rsidR="00461C90" w:rsidRPr="00D44171" w:rsidRDefault="00461C90" w:rsidP="00531924">
            <w:p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Структура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2615B5">
        <w:rPr>
          <w:rFonts w:ascii="Times New Roman" w:hAnsi="Times New Roman"/>
          <w:sz w:val="24"/>
          <w:szCs w:val="24"/>
        </w:rPr>
        <w:t>аспирантуры</w:t>
      </w:r>
      <w:r w:rsidR="00F6431C" w:rsidRPr="002615B5">
        <w:rPr>
          <w:rFonts w:ascii="Times New Roman" w:hAnsi="Times New Roman"/>
          <w:sz w:val="24"/>
          <w:szCs w:val="24"/>
        </w:rPr>
        <w:t xml:space="preserve"> </w:t>
      </w:r>
      <w:r w:rsidR="00A3740F" w:rsidRPr="002615B5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054714" w:rsidRPr="00A15CEA">
        <w:rPr>
          <w:rFonts w:ascii="Times New Roman" w:hAnsi="Times New Roman"/>
          <w:sz w:val="24"/>
          <w:szCs w:val="24"/>
        </w:rPr>
        <w:t>Системы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автоматизации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представлена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таблице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3740F" w:rsidRPr="00054714" w:rsidRDefault="00A3740F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коммуникации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8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  <w:r w:rsidR="000F7A14">
        <w:rPr>
          <w:rFonts w:ascii="Times New Roman" w:hAnsi="Times New Roman"/>
          <w:sz w:val="24"/>
          <w:szCs w:val="24"/>
        </w:rPr>
        <w:t xml:space="preserve"> Зональная научная библиотека Уральского федерального университета предоставляет доступ к следующим электронно-библиотечным сервисам:</w:t>
      </w:r>
    </w:p>
    <w:p w:rsidR="000F7A14" w:rsidRPr="000F7A14" w:rsidRDefault="000F7A14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издательства «Лань»</w:t>
      </w:r>
      <w:r w:rsidRPr="000F7A14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e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lanbook</w:t>
      </w:r>
      <w:proofErr w:type="spellEnd"/>
      <w:r w:rsidRPr="00441B25">
        <w:rPr>
          <w:sz w:val="24"/>
        </w:rPr>
        <w:t>.</w:t>
      </w:r>
      <w:r w:rsidRPr="00441B25">
        <w:rPr>
          <w:sz w:val="24"/>
          <w:lang w:val="en-US"/>
        </w:rPr>
        <w:t>com</w:t>
      </w:r>
    </w:p>
    <w:p w:rsidR="00441B25" w:rsidRPr="00441B25" w:rsidRDefault="00441B25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«Университетская библиотека онлайн»</w:t>
      </w:r>
      <w:r w:rsidRPr="00441B25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biblioclub</w:t>
      </w:r>
      <w:proofErr w:type="spellEnd"/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ru</w:t>
      </w:r>
      <w:proofErr w:type="spellEnd"/>
    </w:p>
    <w:p w:rsidR="00441B25" w:rsidRPr="00441B25" w:rsidRDefault="00441B25" w:rsidP="00441B25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</w:t>
      </w:r>
      <w:proofErr w:type="spellStart"/>
      <w:r>
        <w:rPr>
          <w:sz w:val="24"/>
        </w:rPr>
        <w:t>Библиокомплектатор</w:t>
      </w:r>
      <w:proofErr w:type="spellEnd"/>
      <w:r>
        <w:rPr>
          <w:sz w:val="24"/>
        </w:rPr>
        <w:t xml:space="preserve">» </w:t>
      </w:r>
      <w:r w:rsidRPr="00441B25">
        <w:rPr>
          <w:sz w:val="24"/>
        </w:rPr>
        <w:t>(</w:t>
      </w:r>
      <w:proofErr w:type="spellStart"/>
      <w:r>
        <w:rPr>
          <w:sz w:val="24"/>
          <w:lang w:val="en-US"/>
        </w:rPr>
        <w:t>IPRbooks</w:t>
      </w:r>
      <w:proofErr w:type="spellEnd"/>
      <w:r w:rsidRPr="00441B25">
        <w:rPr>
          <w:sz w:val="24"/>
        </w:rPr>
        <w:t xml:space="preserve">) </w:t>
      </w:r>
      <w:r>
        <w:rPr>
          <w:sz w:val="24"/>
          <w:lang w:val="en-US"/>
        </w:rPr>
        <w:t>http</w:t>
      </w:r>
      <w:r w:rsidRPr="00441B25">
        <w:rPr>
          <w:sz w:val="24"/>
        </w:rPr>
        <w:t>://</w:t>
      </w:r>
      <w:r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="000F7A14" w:rsidRPr="000F7A14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bibliocomplectator</w:t>
      </w:r>
      <w:proofErr w:type="spellEnd"/>
      <w:r w:rsidRPr="00441B25">
        <w:rPr>
          <w:sz w:val="24"/>
        </w:rPr>
        <w:t>.</w:t>
      </w:r>
      <w:proofErr w:type="spellStart"/>
      <w:r>
        <w:rPr>
          <w:sz w:val="24"/>
          <w:lang w:val="en-US"/>
        </w:rPr>
        <w:t>ru</w:t>
      </w:r>
      <w:proofErr w:type="spellEnd"/>
      <w:r w:rsidRPr="00441B25">
        <w:rPr>
          <w:sz w:val="24"/>
        </w:rPr>
        <w:t>/</w:t>
      </w:r>
      <w:r>
        <w:rPr>
          <w:sz w:val="24"/>
          <w:lang w:val="en-US"/>
        </w:rPr>
        <w:t>available</w:t>
      </w:r>
    </w:p>
    <w:p w:rsidR="000F7A14" w:rsidRPr="00D44171" w:rsidRDefault="000F7A1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</w:t>
      </w:r>
      <w:r w:rsidR="00922600">
        <w:rPr>
          <w:rFonts w:ascii="Times New Roman" w:hAnsi="Times New Roman"/>
          <w:sz w:val="24"/>
          <w:szCs w:val="24"/>
        </w:rPr>
        <w:t>е</w:t>
      </w:r>
      <w:r w:rsidR="00393A90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393A90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</w:t>
      </w:r>
      <w:bookmarkStart w:id="5" w:name="_GoBack"/>
      <w:bookmarkEnd w:id="5"/>
      <w:r w:rsidR="00393A90" w:rsidRPr="00D44171">
        <w:rPr>
          <w:rFonts w:ascii="Times New Roman" w:hAnsi="Times New Roman"/>
          <w:sz w:val="24"/>
          <w:szCs w:val="24"/>
        </w:rPr>
        <w:t>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5594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D7A2A">
        <w:rPr>
          <w:rFonts w:ascii="Times New Roman" w:hAnsi="Times New Roman"/>
          <w:sz w:val="24"/>
          <w:szCs w:val="24"/>
        </w:rPr>
        <w:t>10</w:t>
      </w:r>
      <w:r w:rsidR="00390BCA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A26F5" w:rsidRPr="00CA26F5">
        <w:rPr>
          <w:rFonts w:ascii="Times New Roman" w:hAnsi="Times New Roman"/>
          <w:sz w:val="24"/>
          <w:szCs w:val="24"/>
        </w:rPr>
        <w:t>Все научные руководители, назначенные обучающемуся, имеют ученую степень (в том числе ученую степень, присвоенную за рубежом и признаваемую в Российской Федерации), осуществляют самостоятельную научно-исследовательскую (творческую) деятельность (участвуют в осуществлении такой деятельности) по направленности (профилю) подготовки, имеют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осуществляют апробацию результатов указанной научно-исследовательской (творческой) деятельности на национальных и международных конференциях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Microsoft Windows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Microsoft Office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AutoCAD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Inventor Professional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>АСКОН КОМПАС-</w:t>
      </w:r>
      <w:r>
        <w:rPr>
          <w:sz w:val="24"/>
          <w:lang w:val="en-US"/>
        </w:rPr>
        <w:t>3D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SolidWorks Education Edition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PTC Mathcad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Simulink</w:t>
      </w:r>
    </w:p>
    <w:p w:rsidR="00441B25" w:rsidRPr="00441B25" w:rsidRDefault="00441B25" w:rsidP="00150DDA">
      <w:pPr>
        <w:pStyle w:val="af2"/>
        <w:ind w:left="1287" w:right="-1"/>
        <w:jc w:val="both"/>
        <w:rPr>
          <w:sz w:val="24"/>
        </w:rPr>
      </w:pP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Pr="00C07338" w:rsidRDefault="00C37134" w:rsidP="00C0733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37134">
        <w:rPr>
          <w:rFonts w:ascii="Times New Roman" w:hAnsi="Times New Roman"/>
          <w:sz w:val="24"/>
          <w:szCs w:val="24"/>
        </w:rPr>
        <w:t>При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отсутствии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медицинских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показаний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реализуется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инклюзивное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обучение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лиц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ограниченными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возможностями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здоровья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инвалидов.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Данная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адаптируется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соответствие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разделом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14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Положения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высшего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образования,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принятой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Ученым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советом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университета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26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октября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2015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года.</w:t>
      </w:r>
      <w:r w:rsidRPr="00C37134">
        <w:rPr>
          <w:rFonts w:ascii="Times New Roman" w:hAnsi="Times New Roman"/>
          <w:sz w:val="24"/>
          <w:szCs w:val="24"/>
        </w:rPr>
        <w:cr/>
      </w: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Y="1"/>
        <w:tblOverlap w:val="never"/>
        <w:tblW w:w="1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4"/>
        <w:gridCol w:w="1123"/>
        <w:gridCol w:w="1124"/>
        <w:gridCol w:w="1124"/>
        <w:gridCol w:w="1123"/>
        <w:gridCol w:w="1124"/>
        <w:gridCol w:w="1124"/>
        <w:gridCol w:w="16"/>
      </w:tblGrid>
      <w:tr w:rsidR="00BC59D2" w:rsidRPr="007036BB" w:rsidTr="0009176B">
        <w:trPr>
          <w:trHeight w:val="70"/>
          <w:tblHeader/>
        </w:trPr>
        <w:tc>
          <w:tcPr>
            <w:tcW w:w="8364" w:type="dxa"/>
            <w:vMerge w:val="restart"/>
            <w:shd w:val="clear" w:color="auto" w:fill="auto"/>
            <w:vAlign w:val="center"/>
          </w:tcPr>
          <w:p w:rsidR="00BC59D2" w:rsidRPr="007036BB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758" w:type="dxa"/>
            <w:gridSpan w:val="7"/>
            <w:vAlign w:val="center"/>
          </w:tcPr>
          <w:p w:rsidR="00BC59D2" w:rsidRPr="007036BB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Результаты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обучения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C51CB" w:rsidRPr="007036BB" w:rsidTr="0009176B">
        <w:trPr>
          <w:gridAfter w:val="1"/>
          <w:wAfter w:w="16" w:type="dxa"/>
          <w:trHeight w:val="70"/>
          <w:tblHeader/>
        </w:trPr>
        <w:tc>
          <w:tcPr>
            <w:tcW w:w="8364" w:type="dxa"/>
            <w:vMerge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DC51CB" w:rsidRPr="007036BB" w:rsidTr="00DC51CB">
        <w:trPr>
          <w:gridAfter w:val="1"/>
          <w:wAfter w:w="16" w:type="dxa"/>
          <w:trHeight w:val="314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философия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(по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отраслям)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коммуникации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высшей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школы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Методика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исследований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семинар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7036B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7036BB" w:rsidRPr="007036BB" w:rsidRDefault="007036BB" w:rsidP="00703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7036BB" w:rsidRPr="007036BB" w:rsidRDefault="007036BB" w:rsidP="00703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(диссертации)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соискание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ученой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степени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кандидата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3F4C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доклада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«</w:t>
            </w:r>
            <w:r w:rsidR="007036BB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1116"/>
        <w:gridCol w:w="1116"/>
        <w:gridCol w:w="1116"/>
        <w:gridCol w:w="1117"/>
        <w:gridCol w:w="1116"/>
        <w:gridCol w:w="1116"/>
        <w:gridCol w:w="1116"/>
        <w:gridCol w:w="1117"/>
      </w:tblGrid>
      <w:tr w:rsidR="006A04ED" w:rsidRPr="00BE4C1A" w:rsidTr="0009176B">
        <w:trPr>
          <w:trHeight w:val="286"/>
          <w:tblHeader/>
        </w:trPr>
        <w:tc>
          <w:tcPr>
            <w:tcW w:w="6096" w:type="dxa"/>
            <w:vMerge w:val="restart"/>
            <w:shd w:val="clear" w:color="auto" w:fill="auto"/>
            <w:vAlign w:val="center"/>
          </w:tcPr>
          <w:p w:rsidR="006A04ED" w:rsidRPr="00BE4C1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8930" w:type="dxa"/>
            <w:gridSpan w:val="8"/>
            <w:vAlign w:val="center"/>
          </w:tcPr>
          <w:p w:rsidR="006A04ED" w:rsidRPr="00BE4C1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872A66" w:rsidRPr="00BE4C1A" w:rsidTr="0009176B">
        <w:trPr>
          <w:trHeight w:val="70"/>
          <w:tblHeader/>
        </w:trPr>
        <w:tc>
          <w:tcPr>
            <w:tcW w:w="6096" w:type="dxa"/>
            <w:vMerge/>
            <w:shd w:val="clear" w:color="auto" w:fill="auto"/>
            <w:vAlign w:val="center"/>
          </w:tcPr>
          <w:p w:rsidR="00872A66" w:rsidRPr="00BE4C1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1117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  <w:tc>
          <w:tcPr>
            <w:tcW w:w="1117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-8</w:t>
            </w:r>
          </w:p>
        </w:tc>
      </w:tr>
      <w:tr w:rsidR="00BE4C1A" w:rsidRPr="00BE4C1A" w:rsidTr="00872A66">
        <w:trPr>
          <w:trHeight w:val="314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150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1"/>
        <w:gridCol w:w="1093"/>
        <w:gridCol w:w="1093"/>
        <w:gridCol w:w="1094"/>
        <w:gridCol w:w="1093"/>
        <w:gridCol w:w="1094"/>
        <w:gridCol w:w="1093"/>
        <w:gridCol w:w="1094"/>
      </w:tblGrid>
      <w:tr w:rsidR="00872A66" w:rsidRPr="00A6077E" w:rsidTr="0009176B">
        <w:trPr>
          <w:trHeight w:val="326"/>
          <w:tblHeader/>
        </w:trPr>
        <w:tc>
          <w:tcPr>
            <w:tcW w:w="7371" w:type="dxa"/>
            <w:vMerge w:val="restart"/>
            <w:shd w:val="clear" w:color="auto" w:fill="auto"/>
            <w:vAlign w:val="center"/>
          </w:tcPr>
          <w:p w:rsidR="00872A66" w:rsidRPr="00A6077E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654" w:type="dxa"/>
            <w:gridSpan w:val="7"/>
            <w:vAlign w:val="center"/>
          </w:tcPr>
          <w:p w:rsidR="00872A66" w:rsidRPr="00A6077E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AF309E" w:rsidRPr="00A6077E" w:rsidTr="0009176B">
        <w:trPr>
          <w:trHeight w:val="131"/>
          <w:tblHeader/>
        </w:trPr>
        <w:tc>
          <w:tcPr>
            <w:tcW w:w="7371" w:type="dxa"/>
            <w:vMerge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1093" w:type="dxa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1094" w:type="dxa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1093" w:type="dxa"/>
            <w:vAlign w:val="center"/>
          </w:tcPr>
          <w:p w:rsidR="00AF309E" w:rsidRPr="00A6077E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1094" w:type="dxa"/>
            <w:vAlign w:val="center"/>
          </w:tcPr>
          <w:p w:rsidR="00AF309E" w:rsidRPr="00A6077E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</w:tr>
      <w:tr w:rsidR="00A6077E" w:rsidRPr="00A6077E" w:rsidTr="00872A66">
        <w:trPr>
          <w:trHeight w:val="314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A39" w:rsidRDefault="002B4A39" w:rsidP="00207A11">
      <w:pPr>
        <w:spacing w:after="0" w:line="240" w:lineRule="auto"/>
      </w:pPr>
      <w:r>
        <w:separator/>
      </w:r>
    </w:p>
  </w:endnote>
  <w:endnote w:type="continuationSeparator" w:id="0">
    <w:p w:rsidR="002B4A39" w:rsidRDefault="002B4A39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134" w:rsidRDefault="00C37134">
    <w:pPr>
      <w:pStyle w:val="af0"/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A39" w:rsidRDefault="002B4A39" w:rsidP="00207A11">
      <w:pPr>
        <w:spacing w:after="0" w:line="240" w:lineRule="auto"/>
      </w:pPr>
      <w:r>
        <w:separator/>
      </w:r>
    </w:p>
  </w:footnote>
  <w:footnote w:type="continuationSeparator" w:id="0">
    <w:p w:rsidR="002B4A39" w:rsidRDefault="002B4A39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51AB2"/>
    <w:multiLevelType w:val="hybridMultilevel"/>
    <w:tmpl w:val="A2F8A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7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7C50A40"/>
    <w:multiLevelType w:val="hybridMultilevel"/>
    <w:tmpl w:val="DD443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 w15:restartNumberingAfterBreak="0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6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7"/>
  </w:num>
  <w:num w:numId="6">
    <w:abstractNumId w:val="2"/>
  </w:num>
  <w:num w:numId="7">
    <w:abstractNumId w:val="11"/>
  </w:num>
  <w:num w:numId="8">
    <w:abstractNumId w:val="13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5"/>
  </w:num>
  <w:num w:numId="2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6D29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0F7A14"/>
    <w:rsid w:val="0010022B"/>
    <w:rsid w:val="00106844"/>
    <w:rsid w:val="00116998"/>
    <w:rsid w:val="001215AC"/>
    <w:rsid w:val="00124499"/>
    <w:rsid w:val="00125282"/>
    <w:rsid w:val="00132793"/>
    <w:rsid w:val="001421A3"/>
    <w:rsid w:val="001439FE"/>
    <w:rsid w:val="00150DDA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05C7"/>
    <w:rsid w:val="001B414A"/>
    <w:rsid w:val="001B5A29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A96"/>
    <w:rsid w:val="00230CBB"/>
    <w:rsid w:val="002318C4"/>
    <w:rsid w:val="00234DFA"/>
    <w:rsid w:val="00236980"/>
    <w:rsid w:val="00236C38"/>
    <w:rsid w:val="00246EFE"/>
    <w:rsid w:val="00257E0D"/>
    <w:rsid w:val="00260D8D"/>
    <w:rsid w:val="002615B5"/>
    <w:rsid w:val="00263621"/>
    <w:rsid w:val="00271F06"/>
    <w:rsid w:val="002A2C76"/>
    <w:rsid w:val="002A35C5"/>
    <w:rsid w:val="002A6CAD"/>
    <w:rsid w:val="002B4A39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3F8F"/>
    <w:rsid w:val="00354287"/>
    <w:rsid w:val="0036096F"/>
    <w:rsid w:val="00373857"/>
    <w:rsid w:val="00373C0C"/>
    <w:rsid w:val="0037553A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77B9"/>
    <w:rsid w:val="003D7C72"/>
    <w:rsid w:val="003E412C"/>
    <w:rsid w:val="003E5B65"/>
    <w:rsid w:val="003E5D43"/>
    <w:rsid w:val="003E70E7"/>
    <w:rsid w:val="003F4C64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3393"/>
    <w:rsid w:val="0043796A"/>
    <w:rsid w:val="00441B25"/>
    <w:rsid w:val="00447519"/>
    <w:rsid w:val="00461C90"/>
    <w:rsid w:val="00462019"/>
    <w:rsid w:val="00480C1B"/>
    <w:rsid w:val="00490445"/>
    <w:rsid w:val="004A6224"/>
    <w:rsid w:val="004B7024"/>
    <w:rsid w:val="004C2479"/>
    <w:rsid w:val="004C3CEF"/>
    <w:rsid w:val="004C4B7B"/>
    <w:rsid w:val="004D2FAD"/>
    <w:rsid w:val="004D501B"/>
    <w:rsid w:val="004D6904"/>
    <w:rsid w:val="004D7A2A"/>
    <w:rsid w:val="004E179B"/>
    <w:rsid w:val="004E6829"/>
    <w:rsid w:val="004F17A9"/>
    <w:rsid w:val="004F1981"/>
    <w:rsid w:val="004F275E"/>
    <w:rsid w:val="004F6B41"/>
    <w:rsid w:val="00500A61"/>
    <w:rsid w:val="0050286D"/>
    <w:rsid w:val="005057B6"/>
    <w:rsid w:val="00510C60"/>
    <w:rsid w:val="005145A3"/>
    <w:rsid w:val="00514BD7"/>
    <w:rsid w:val="00516594"/>
    <w:rsid w:val="00520DF1"/>
    <w:rsid w:val="0052508A"/>
    <w:rsid w:val="00527322"/>
    <w:rsid w:val="00531924"/>
    <w:rsid w:val="00536018"/>
    <w:rsid w:val="005365AB"/>
    <w:rsid w:val="00541D45"/>
    <w:rsid w:val="00543B21"/>
    <w:rsid w:val="0056365D"/>
    <w:rsid w:val="005674A0"/>
    <w:rsid w:val="005723CB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4F7C"/>
    <w:rsid w:val="005B6345"/>
    <w:rsid w:val="005B6752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2D4"/>
    <w:rsid w:val="00617E1B"/>
    <w:rsid w:val="00621CF0"/>
    <w:rsid w:val="00630902"/>
    <w:rsid w:val="00630F1D"/>
    <w:rsid w:val="00634D2C"/>
    <w:rsid w:val="0064087D"/>
    <w:rsid w:val="006468AE"/>
    <w:rsid w:val="006510D1"/>
    <w:rsid w:val="0065337F"/>
    <w:rsid w:val="00655C3B"/>
    <w:rsid w:val="00663334"/>
    <w:rsid w:val="00663F6A"/>
    <w:rsid w:val="00670E08"/>
    <w:rsid w:val="00674FEB"/>
    <w:rsid w:val="0067518D"/>
    <w:rsid w:val="0067525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6F7031"/>
    <w:rsid w:val="007036BB"/>
    <w:rsid w:val="00704C27"/>
    <w:rsid w:val="00705E34"/>
    <w:rsid w:val="007134A9"/>
    <w:rsid w:val="007226AE"/>
    <w:rsid w:val="00722E63"/>
    <w:rsid w:val="00723F74"/>
    <w:rsid w:val="0072457D"/>
    <w:rsid w:val="007253C4"/>
    <w:rsid w:val="00727A38"/>
    <w:rsid w:val="00730916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2B71"/>
    <w:rsid w:val="007A397E"/>
    <w:rsid w:val="007A697B"/>
    <w:rsid w:val="007B0D7C"/>
    <w:rsid w:val="007C0EB3"/>
    <w:rsid w:val="007C1329"/>
    <w:rsid w:val="007C4179"/>
    <w:rsid w:val="007D113A"/>
    <w:rsid w:val="007D75FF"/>
    <w:rsid w:val="007E15C0"/>
    <w:rsid w:val="007E27F6"/>
    <w:rsid w:val="007E6CFF"/>
    <w:rsid w:val="007F1C17"/>
    <w:rsid w:val="00804E08"/>
    <w:rsid w:val="00820011"/>
    <w:rsid w:val="00822ADA"/>
    <w:rsid w:val="00826B8E"/>
    <w:rsid w:val="008351A5"/>
    <w:rsid w:val="00843E1C"/>
    <w:rsid w:val="00843F53"/>
    <w:rsid w:val="00846669"/>
    <w:rsid w:val="00846B90"/>
    <w:rsid w:val="00851674"/>
    <w:rsid w:val="0085798A"/>
    <w:rsid w:val="008642E3"/>
    <w:rsid w:val="0087154F"/>
    <w:rsid w:val="00872A66"/>
    <w:rsid w:val="00877D0F"/>
    <w:rsid w:val="008832F9"/>
    <w:rsid w:val="00884B43"/>
    <w:rsid w:val="008851BE"/>
    <w:rsid w:val="008A16FF"/>
    <w:rsid w:val="008A7669"/>
    <w:rsid w:val="008B5D08"/>
    <w:rsid w:val="008B5DC1"/>
    <w:rsid w:val="008B7DB2"/>
    <w:rsid w:val="008C727C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2600"/>
    <w:rsid w:val="009256DA"/>
    <w:rsid w:val="00936B04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7FCC"/>
    <w:rsid w:val="009F182F"/>
    <w:rsid w:val="009F6D7C"/>
    <w:rsid w:val="00A048E2"/>
    <w:rsid w:val="00A06843"/>
    <w:rsid w:val="00A1101E"/>
    <w:rsid w:val="00A15CEA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470CA"/>
    <w:rsid w:val="00A540A1"/>
    <w:rsid w:val="00A557A1"/>
    <w:rsid w:val="00A5595A"/>
    <w:rsid w:val="00A6077E"/>
    <w:rsid w:val="00A765CB"/>
    <w:rsid w:val="00A80D33"/>
    <w:rsid w:val="00A91B89"/>
    <w:rsid w:val="00A94256"/>
    <w:rsid w:val="00A94740"/>
    <w:rsid w:val="00A956DB"/>
    <w:rsid w:val="00AA16AB"/>
    <w:rsid w:val="00AB1295"/>
    <w:rsid w:val="00AB28E9"/>
    <w:rsid w:val="00AD1006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35594"/>
    <w:rsid w:val="00B41914"/>
    <w:rsid w:val="00B42095"/>
    <w:rsid w:val="00B46CD6"/>
    <w:rsid w:val="00B475E6"/>
    <w:rsid w:val="00B55AFE"/>
    <w:rsid w:val="00B621A0"/>
    <w:rsid w:val="00B6336B"/>
    <w:rsid w:val="00B775EF"/>
    <w:rsid w:val="00B823F3"/>
    <w:rsid w:val="00B82798"/>
    <w:rsid w:val="00B90550"/>
    <w:rsid w:val="00B93FEA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F0808"/>
    <w:rsid w:val="00C0307D"/>
    <w:rsid w:val="00C05CDC"/>
    <w:rsid w:val="00C06010"/>
    <w:rsid w:val="00C07338"/>
    <w:rsid w:val="00C12077"/>
    <w:rsid w:val="00C2769A"/>
    <w:rsid w:val="00C33354"/>
    <w:rsid w:val="00C35D05"/>
    <w:rsid w:val="00C37134"/>
    <w:rsid w:val="00C40619"/>
    <w:rsid w:val="00C452CA"/>
    <w:rsid w:val="00C52A4A"/>
    <w:rsid w:val="00C5380A"/>
    <w:rsid w:val="00C70382"/>
    <w:rsid w:val="00C759EF"/>
    <w:rsid w:val="00C773F3"/>
    <w:rsid w:val="00C77F54"/>
    <w:rsid w:val="00C80624"/>
    <w:rsid w:val="00CA26F5"/>
    <w:rsid w:val="00CB1394"/>
    <w:rsid w:val="00CB3A09"/>
    <w:rsid w:val="00CB4994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73DCD"/>
    <w:rsid w:val="00D74390"/>
    <w:rsid w:val="00D8673F"/>
    <w:rsid w:val="00D8725D"/>
    <w:rsid w:val="00D97FAF"/>
    <w:rsid w:val="00DA34D5"/>
    <w:rsid w:val="00DB0C59"/>
    <w:rsid w:val="00DB2585"/>
    <w:rsid w:val="00DB49BB"/>
    <w:rsid w:val="00DB4A4B"/>
    <w:rsid w:val="00DB540D"/>
    <w:rsid w:val="00DB6C60"/>
    <w:rsid w:val="00DC08B3"/>
    <w:rsid w:val="00DC4C17"/>
    <w:rsid w:val="00DC51CB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2E16"/>
    <w:rsid w:val="00E2424A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8720C"/>
    <w:rsid w:val="00E95C5F"/>
    <w:rsid w:val="00E96978"/>
    <w:rsid w:val="00EA33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7376"/>
    <w:rsid w:val="00EF0623"/>
    <w:rsid w:val="00EF47D3"/>
    <w:rsid w:val="00F0003E"/>
    <w:rsid w:val="00F05A23"/>
    <w:rsid w:val="00F1118A"/>
    <w:rsid w:val="00F24199"/>
    <w:rsid w:val="00F2777B"/>
    <w:rsid w:val="00F306C9"/>
    <w:rsid w:val="00F3216A"/>
    <w:rsid w:val="00F33999"/>
    <w:rsid w:val="00F36266"/>
    <w:rsid w:val="00F4421A"/>
    <w:rsid w:val="00F502AE"/>
    <w:rsid w:val="00F575A7"/>
    <w:rsid w:val="00F6431C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75F8"/>
    <w:rsid w:val="00FD37F2"/>
    <w:rsid w:val="00FD3E42"/>
    <w:rsid w:val="00FE152F"/>
    <w:rsid w:val="00FE5C82"/>
    <w:rsid w:val="00FE6285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C0507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  <w:style w:type="character" w:styleId="af5">
    <w:name w:val="Unresolved Mention"/>
    <w:basedOn w:val="a3"/>
    <w:uiPriority w:val="99"/>
    <w:semiHidden/>
    <w:unhideWhenUsed/>
    <w:rsid w:val="000F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19</Pages>
  <Words>6100</Words>
  <Characters>34771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40790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150</cp:revision>
  <cp:lastPrinted>2018-01-17T08:04:00Z</cp:lastPrinted>
  <dcterms:created xsi:type="dcterms:W3CDTF">2018-01-27T07:51:00Z</dcterms:created>
  <dcterms:modified xsi:type="dcterms:W3CDTF">2018-10-17T05:27:00Z</dcterms:modified>
</cp:coreProperties>
</file>