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AD7E53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Уколов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Станислав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Сергеевич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0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0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bookmarkStart w:id="1" w:name="_GoBack"/>
      <w:bookmarkEnd w:id="1"/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D14DD7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B134AF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выполнять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предприятиях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D3DFD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организациях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машиностроительной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других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отраслей,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связанных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информационными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технологиями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A11B6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например: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ПАО</w:t>
      </w:r>
      <w:r w:rsidR="00C80624">
        <w:rPr>
          <w:rFonts w:ascii="Times New Roman" w:hAnsi="Times New Roman"/>
          <w:color w:val="000000"/>
          <w:sz w:val="24"/>
          <w:szCs w:val="24"/>
          <w:lang w:val="en-US" w:eastAsia="ru-RU"/>
        </w:rPr>
        <w:t> 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proofErr w:type="spellStart"/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МЗиК</w:t>
      </w:r>
      <w:proofErr w:type="spellEnd"/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ЗАО</w:t>
      </w:r>
      <w:r w:rsidR="00C80624">
        <w:rPr>
          <w:rFonts w:ascii="Times New Roman" w:hAnsi="Times New Roman"/>
          <w:color w:val="000000"/>
          <w:sz w:val="24"/>
          <w:szCs w:val="24"/>
          <w:lang w:val="en-US" w:eastAsia="ru-RU"/>
        </w:rPr>
        <w:t> 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proofErr w:type="spellStart"/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Сталепромышленная</w:t>
      </w:r>
      <w:proofErr w:type="spellEnd"/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компания»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ЗАО</w:t>
      </w:r>
      <w:r w:rsidR="00AA16AB">
        <w:rPr>
          <w:rFonts w:ascii="Times New Roman" w:hAnsi="Times New Roman"/>
          <w:color w:val="000000"/>
          <w:sz w:val="24"/>
          <w:szCs w:val="24"/>
          <w:lang w:val="en-US" w:eastAsia="ru-RU"/>
        </w:rPr>
        <w:t> 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«Региональный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центр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лазерных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технологий»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;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Свердловский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инструментальный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завод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2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3" w:name="_Hlk509226661"/>
      <w:bookmarkEnd w:id="2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4" w:name="_Hlk509226688"/>
      <w:bookmarkEnd w:id="3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F3216A" w:rsidRPr="00DC08B3" w:rsidRDefault="00F3216A" w:rsidP="00DC08B3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преподавание</w:t>
            </w:r>
            <w:r w:rsidR="00F6431C">
              <w:rPr>
                <w:sz w:val="24"/>
              </w:rPr>
              <w:t xml:space="preserve"> </w:t>
            </w:r>
            <w:r w:rsidR="00373C0C" w:rsidRPr="00DC08B3">
              <w:rPr>
                <w:sz w:val="24"/>
              </w:rPr>
              <w:t>специальных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дисциплин</w:t>
            </w:r>
            <w:r w:rsidR="00F6431C">
              <w:rPr>
                <w:sz w:val="24"/>
              </w:rPr>
              <w:t xml:space="preserve"> </w:t>
            </w:r>
            <w:r w:rsidR="00373C0C" w:rsidRPr="00DC08B3">
              <w:rPr>
                <w:sz w:val="24"/>
              </w:rPr>
              <w:t>по</w:t>
            </w:r>
            <w:r w:rsidR="005B4F7C" w:rsidRPr="005B4F7C">
              <w:rPr>
                <w:sz w:val="24"/>
              </w:rPr>
              <w:t xml:space="preserve"> проблемам создания и повышения эффективности функционирования систем автоматизированного проектирования, управления качеством проектных работ на основе использования современных методов моделирования и инженерного анализа, перехода на безбумажные сетевые формы документооборота и интеграции САПР в общую архитектуру автоматизированной проектно-производственной среды</w:t>
            </w:r>
            <w:r w:rsidRPr="00DC08B3">
              <w:rPr>
                <w:sz w:val="24"/>
              </w:rPr>
              <w:t>;</w:t>
            </w:r>
          </w:p>
          <w:p w:rsidR="002C5C93" w:rsidRPr="00DC08B3" w:rsidRDefault="00F3216A" w:rsidP="00DC08B3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организация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учебного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процесса</w:t>
            </w:r>
            <w:r w:rsidR="00F6431C">
              <w:rPr>
                <w:sz w:val="24"/>
              </w:rPr>
              <w:t xml:space="preserve"> </w:t>
            </w:r>
          </w:p>
        </w:tc>
      </w:tr>
      <w:bookmarkEnd w:id="4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5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системное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понимание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состояния,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проблематики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роли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повышения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конкурентоспособности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совершенствования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экономического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страны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(ПК-1);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вести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разработки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создания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математического,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информационного,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алгоритмического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программного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обеспечения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информационных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реализации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производства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(ПК-6);</w:t>
      </w:r>
    </w:p>
    <w:p w:rsidR="002239A6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передавать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накопленный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опыт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коллегам,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сообществам,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организациям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Pr="00DE7958">
        <w:rPr>
          <w:sz w:val="24"/>
        </w:rPr>
        <w:t>).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подход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критический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состояния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проблем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</w:p>
        </w:tc>
        <w:tc>
          <w:tcPr>
            <w:tcW w:w="3264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B5D08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новые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разработок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основ,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алгоритмов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построения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компьютерных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принятия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ТП)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(АСУП)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анализировать,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обрабатывать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комплексные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междисциплинарные,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целостного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мировоззрения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знаний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истории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философии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участвовать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российских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международных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научно-образовательных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формализованное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алгоритмизацию,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оптимизацию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имитационное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моделирование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функционирования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построении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компьютерной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формировать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гипотезы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актуальную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перспективных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направлений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проведения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патентных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лицензирования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защиты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инновационных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продуктов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(ОПК-7);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преподавательской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(ОПК-8);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(ПК-5).</w:t>
            </w: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5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Pr="00D44171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должно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lastRenderedPageBreak/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Научный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руководитель,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520B8" w:rsidRPr="00D44171">
        <w:rPr>
          <w:rFonts w:ascii="Times New Roman" w:hAnsi="Times New Roman"/>
          <w:sz w:val="24"/>
          <w:szCs w:val="24"/>
        </w:rPr>
        <w:t>назначаемый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обучающемуся,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осуществля</w:t>
      </w:r>
      <w:r w:rsidR="002F49E8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научно-исследовательскую,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творческую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деятельность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04463" w:rsidRPr="00D44171">
        <w:rPr>
          <w:rFonts w:ascii="Times New Roman" w:hAnsi="Times New Roman"/>
          <w:sz w:val="24"/>
          <w:szCs w:val="24"/>
        </w:rPr>
        <w:t>(участ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2F49E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направлен</w:t>
      </w:r>
      <w:r w:rsidR="00904463" w:rsidRPr="00D44171">
        <w:rPr>
          <w:rFonts w:ascii="Times New Roman" w:hAnsi="Times New Roman"/>
          <w:sz w:val="24"/>
          <w:szCs w:val="24"/>
        </w:rPr>
        <w:t>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подготовки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09</w:t>
      </w:r>
      <w:r w:rsidR="00904463" w:rsidRPr="00132793">
        <w:rPr>
          <w:rFonts w:ascii="Times New Roman" w:hAnsi="Times New Roman"/>
          <w:sz w:val="24"/>
          <w:szCs w:val="24"/>
        </w:rPr>
        <w:t>.06.01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«Информатика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вычислительная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594D67" w:rsidRPr="00132793">
        <w:rPr>
          <w:rFonts w:ascii="Times New Roman" w:hAnsi="Times New Roman"/>
          <w:sz w:val="24"/>
          <w:szCs w:val="24"/>
        </w:rPr>
        <w:t>техника»</w:t>
      </w:r>
      <w:r w:rsidR="00390BCA" w:rsidRPr="00132793">
        <w:rPr>
          <w:rFonts w:ascii="Times New Roman" w:hAnsi="Times New Roman"/>
          <w:sz w:val="24"/>
          <w:szCs w:val="24"/>
        </w:rPr>
        <w:t>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име</w:t>
      </w:r>
      <w:r w:rsidR="00904463" w:rsidRPr="00132793">
        <w:rPr>
          <w:rFonts w:ascii="Times New Roman" w:hAnsi="Times New Roman"/>
          <w:sz w:val="24"/>
          <w:szCs w:val="24"/>
        </w:rPr>
        <w:t>ет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публикации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результатам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указанной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научно-исследовательской,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творческой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деятельности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веду</w:t>
      </w:r>
      <w:r w:rsidR="00390BCA" w:rsidRPr="00D44171">
        <w:rPr>
          <w:rFonts w:ascii="Times New Roman" w:hAnsi="Times New Roman"/>
          <w:sz w:val="24"/>
          <w:szCs w:val="24"/>
        </w:rPr>
        <w:t>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отечественных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зарубежных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журналах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осуществля</w:t>
      </w:r>
      <w:r w:rsidR="00904463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апробацию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указанной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творческой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национальных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конференциях.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Pr="00594D67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lastRenderedPageBreak/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4F17A9" w:rsidRPr="00D44171" w:rsidRDefault="00425EB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инклюзивного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лиц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огранич</w:t>
      </w:r>
      <w:r w:rsidR="00A24576" w:rsidRPr="00D44171">
        <w:rPr>
          <w:rFonts w:ascii="Times New Roman" w:hAnsi="Times New Roman"/>
          <w:sz w:val="24"/>
          <w:szCs w:val="24"/>
        </w:rPr>
        <w:t>енными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24576" w:rsidRPr="00D44171">
        <w:rPr>
          <w:rFonts w:ascii="Times New Roman" w:hAnsi="Times New Roman"/>
          <w:sz w:val="24"/>
          <w:szCs w:val="24"/>
        </w:rPr>
        <w:t>возможностями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24576" w:rsidRPr="00D44171">
        <w:rPr>
          <w:rFonts w:ascii="Times New Roman" w:hAnsi="Times New Roman"/>
          <w:sz w:val="24"/>
          <w:szCs w:val="24"/>
        </w:rPr>
        <w:t>здоровья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(далее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E51D6" w:rsidRPr="00D44171">
        <w:rPr>
          <w:rFonts w:ascii="Times New Roman" w:hAnsi="Times New Roman"/>
          <w:sz w:val="24"/>
          <w:szCs w:val="24"/>
        </w:rPr>
        <w:t>ОВЗ</w:t>
      </w:r>
      <w:r w:rsidR="00F306C9" w:rsidRPr="00D44171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реализует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адаптивные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обучения</w:t>
      </w:r>
      <w:r w:rsidR="00234DF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34DF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индивидуального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15ED1" w:rsidRPr="00D44171">
        <w:rPr>
          <w:rFonts w:ascii="Times New Roman" w:hAnsi="Times New Roman"/>
          <w:sz w:val="24"/>
          <w:szCs w:val="24"/>
        </w:rPr>
        <w:t>учеб</w:t>
      </w:r>
      <w:r w:rsidR="004F17A9" w:rsidRPr="00D44171">
        <w:rPr>
          <w:rFonts w:ascii="Times New Roman" w:hAnsi="Times New Roman"/>
          <w:sz w:val="24"/>
          <w:szCs w:val="24"/>
        </w:rPr>
        <w:t>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плана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графика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F17A9" w:rsidRPr="00D44171">
        <w:rPr>
          <w:rFonts w:ascii="Times New Roman" w:hAnsi="Times New Roman"/>
          <w:sz w:val="24"/>
          <w:szCs w:val="24"/>
        </w:rPr>
        <w:t>обучения.</w:t>
      </w:r>
    </w:p>
    <w:p w:rsidR="004F17A9" w:rsidRPr="00D44171" w:rsidRDefault="00BC1EC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Обучающиеся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ОВЗ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инвалиды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ресурсами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адаптированных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ограничениям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здоровья.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обучение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особенностей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психофизического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развития,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возможностей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состояния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F182F" w:rsidRPr="00D44171">
        <w:rPr>
          <w:rFonts w:ascii="Times New Roman" w:hAnsi="Times New Roman"/>
          <w:sz w:val="24"/>
          <w:szCs w:val="24"/>
        </w:rPr>
        <w:t>здоровья</w:t>
      </w:r>
      <w:r w:rsidR="00F306C9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F306C9" w:rsidRPr="00D44171" w:rsidRDefault="00F306C9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Правила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инклюзивного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лиц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ОВЗ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указаны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методическом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пособии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(инструктирования)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E27F6" w:rsidRPr="00D44171">
        <w:rPr>
          <w:rFonts w:ascii="Times New Roman" w:hAnsi="Times New Roman"/>
          <w:sz w:val="24"/>
          <w:szCs w:val="24"/>
        </w:rPr>
        <w:t>сотрудников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организаций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вопросам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доступности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инвалидов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предоставляются,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оказания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B19F5" w:rsidRPr="00D44171">
        <w:rPr>
          <w:rFonts w:ascii="Times New Roman" w:hAnsi="Times New Roman"/>
          <w:sz w:val="24"/>
          <w:szCs w:val="24"/>
        </w:rPr>
        <w:t>помощи.</w:t>
      </w:r>
    </w:p>
    <w:p w:rsidR="00192969" w:rsidRPr="00D44171" w:rsidRDefault="00192969" w:rsidP="00005677">
      <w:pPr>
        <w:widowControl w:val="0"/>
        <w:tabs>
          <w:tab w:val="num" w:pos="142"/>
        </w:tabs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</w:rPr>
      </w:pP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7036BB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7036B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E4C1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A6077E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AF309E" w:rsidRPr="00A6077E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</w:tr>
      <w:tr w:rsidR="00A6077E" w:rsidRPr="00A6077E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978" w:rsidRDefault="00E96978" w:rsidP="00207A11">
      <w:pPr>
        <w:spacing w:after="0" w:line="240" w:lineRule="auto"/>
      </w:pPr>
      <w:r>
        <w:separator/>
      </w:r>
    </w:p>
  </w:endnote>
  <w:endnote w:type="continuationSeparator" w:id="0">
    <w:p w:rsidR="00E96978" w:rsidRDefault="00E96978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5B5" w:rsidRDefault="002615B5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978" w:rsidRDefault="00E96978" w:rsidP="00207A11">
      <w:pPr>
        <w:spacing w:after="0" w:line="240" w:lineRule="auto"/>
      </w:pPr>
      <w:r>
        <w:separator/>
      </w:r>
    </w:p>
  </w:footnote>
  <w:footnote w:type="continuationSeparator" w:id="0">
    <w:p w:rsidR="00E96978" w:rsidRDefault="00E96978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6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6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5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5"/>
  </w:num>
  <w:num w:numId="6">
    <w:abstractNumId w:val="2"/>
  </w:num>
  <w:num w:numId="7">
    <w:abstractNumId w:val="9"/>
  </w:num>
  <w:num w:numId="8">
    <w:abstractNumId w:val="11"/>
  </w:num>
  <w:num w:numId="9">
    <w:abstractNumId w:val="12"/>
  </w:num>
  <w:num w:numId="10">
    <w:abstractNumId w:val="14"/>
  </w:num>
  <w:num w:numId="11">
    <w:abstractNumId w:val="0"/>
  </w:num>
  <w:num w:numId="12">
    <w:abstractNumId w:val="4"/>
  </w:num>
  <w:num w:numId="13">
    <w:abstractNumId w:val="3"/>
  </w:num>
  <w:num w:numId="14">
    <w:abstractNumId w:val="6"/>
  </w:num>
  <w:num w:numId="15">
    <w:abstractNumId w:val="7"/>
  </w:num>
  <w:num w:numId="16">
    <w:abstractNumId w:val="8"/>
  </w:num>
  <w:num w:numId="17">
    <w:abstractNumId w:val="17"/>
  </w:num>
  <w:num w:numId="18">
    <w:abstractNumId w:val="16"/>
  </w:num>
  <w:num w:numId="19">
    <w:abstractNumId w:val="10"/>
  </w:num>
  <w:num w:numId="2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71F06"/>
    <w:rsid w:val="002A2C76"/>
    <w:rsid w:val="002A35C5"/>
    <w:rsid w:val="002A6CAD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7519"/>
    <w:rsid w:val="00462019"/>
    <w:rsid w:val="00480C1B"/>
    <w:rsid w:val="00490445"/>
    <w:rsid w:val="004A6224"/>
    <w:rsid w:val="004B7024"/>
    <w:rsid w:val="004C2479"/>
    <w:rsid w:val="004C3CEF"/>
    <w:rsid w:val="004C4B7B"/>
    <w:rsid w:val="004D2FAD"/>
    <w:rsid w:val="004D501B"/>
    <w:rsid w:val="004D6904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508A"/>
    <w:rsid w:val="00527322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A16A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12077"/>
    <w:rsid w:val="00C2769A"/>
    <w:rsid w:val="00C33354"/>
    <w:rsid w:val="00C35D05"/>
    <w:rsid w:val="00C40619"/>
    <w:rsid w:val="00C452CA"/>
    <w:rsid w:val="00C52A4A"/>
    <w:rsid w:val="00C5380A"/>
    <w:rsid w:val="00C70382"/>
    <w:rsid w:val="00C759EF"/>
    <w:rsid w:val="00C773F3"/>
    <w:rsid w:val="00C77F54"/>
    <w:rsid w:val="00C80624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95C5F"/>
    <w:rsid w:val="00E96978"/>
    <w:rsid w:val="00EA33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502AE"/>
    <w:rsid w:val="00F575A7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E152F"/>
    <w:rsid w:val="00FE5C82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034CF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18</Pages>
  <Words>6022</Words>
  <Characters>34332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137</cp:revision>
  <cp:lastPrinted>2018-01-17T08:04:00Z</cp:lastPrinted>
  <dcterms:created xsi:type="dcterms:W3CDTF">2018-01-27T07:51:00Z</dcterms:created>
  <dcterms:modified xsi:type="dcterms:W3CDTF">2018-10-01T06:43:00Z</dcterms:modified>
</cp:coreProperties>
</file>