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>Протокол № ______   от __________ г.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>Н.Р. Спиричева</w:t>
      </w:r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bookmarkStart w:id="2" w:name="_GoBack"/>
      <w:bookmarkEnd w:id="2"/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Принципы связи и обмен данными в локальной  проводной сети. Создание  уровня  доступа  и  распределения  в  сети Ethernet.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203B1C" w:rsidRPr="003C3315" w:rsidTr="00D1769E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D1769E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D1769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03B1C" w:rsidRPr="003C3315" w:rsidTr="00D1769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Р2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Р4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9A24A7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203B1C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203B1C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="00203B1C" w:rsidRPr="00894889">
              <w:rPr>
                <w:bCs/>
                <w:sz w:val="16"/>
                <w:szCs w:val="16"/>
              </w:rPr>
              <w:fldChar w:fldCharType="begin"/>
            </w:r>
            <w:r w:rsidR="00203B1C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203B1C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03B1C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0A2D90" w:rsidRDefault="00465AA6" w:rsidP="00D1769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Создание и настройка одноранговой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r w:rsidR="006169D3"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r>
              <w:t>2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Acrylic WiFi Home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Netcracker Technology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Wireshark</w:t>
      </w:r>
    </w:p>
    <w:p w:rsidR="002075EC" w:rsidRPr="006410E5" w:rsidRDefault="002075EC" w:rsidP="002075EC">
      <w:pPr>
        <w:spacing w:line="360" w:lineRule="auto"/>
        <w:ind w:left="964"/>
        <w:jc w:val="both"/>
      </w:pPr>
      <w:r w:rsidRPr="002569A2">
        <w:t>Thunderbird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</w:t>
      </w:r>
      <w:r>
        <w:lastRenderedPageBreak/>
        <w:t>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68814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B2278E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688141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лабораторных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40</w:t>
            </w:r>
            <w:r w:rsidRPr="00026EDF">
              <w:t xml:space="preserve"> теоретических вопросов; 15 задач по разделам дисциплины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688142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B2278E" w:rsidP="00143B35">
      <w:pPr>
        <w:ind w:firstLine="709"/>
        <w:jc w:val="both"/>
      </w:pPr>
      <w:hyperlink r:id="rId14" w:history="1">
        <w:r w:rsidR="00143B35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143B35"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688143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688144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688145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688146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143B35" w:rsidRPr="00143B35" w:rsidRDefault="00B2278E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688147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688148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688149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Pr="00F2189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для проведения мини-контрольных в рамках учебных </w:t>
      </w:r>
      <w:r w:rsidRPr="00641240">
        <w:rPr>
          <w:b/>
          <w:color w:val="auto"/>
          <w:sz w:val="24"/>
          <w:szCs w:val="24"/>
        </w:rPr>
        <w:lastRenderedPageBreak/>
        <w:t>занятий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55DE6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405CA"/>
    <w:rsid w:val="00A632CA"/>
    <w:rsid w:val="00A64414"/>
    <w:rsid w:val="00A8369D"/>
    <w:rsid w:val="00AB1E72"/>
    <w:rsid w:val="00B2278E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56</TotalTime>
  <Pages>16</Pages>
  <Words>3811</Words>
  <Characters>21724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53</cp:revision>
  <cp:lastPrinted>1900-12-31T19:00:00Z</cp:lastPrinted>
  <dcterms:created xsi:type="dcterms:W3CDTF">2016-12-09T08:02:00Z</dcterms:created>
  <dcterms:modified xsi:type="dcterms:W3CDTF">2017-02-15T13:20:00Z</dcterms:modified>
</cp:coreProperties>
</file>