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E35A7C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 xml:space="preserve">Элементы </w:t>
            </w:r>
            <w:proofErr w:type="spellStart"/>
            <w:r w:rsidRPr="009E3DE3">
              <w:rPr>
                <w:b/>
                <w:color w:val="000000"/>
              </w:rPr>
              <w:t>Web</w:t>
            </w:r>
            <w:proofErr w:type="spellEnd"/>
            <w:r w:rsidRPr="009E3DE3">
              <w:rPr>
                <w:b/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D23E7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3E71" w:rsidRDefault="00D23E7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D23E7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3E71" w:rsidRPr="00477D03" w:rsidRDefault="00D23E71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3E71" w:rsidRPr="00EE00EB" w:rsidRDefault="00D23E71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>.</w:t>
      </w:r>
      <w:r w:rsidR="0020765A" w:rsidRPr="0020765A">
        <w:rPr>
          <w:color w:val="000000"/>
        </w:rPr>
        <w:t>А</w:t>
      </w:r>
      <w:r w:rsidR="0020765A">
        <w:rPr>
          <w:color w:val="000000"/>
        </w:rPr>
        <w:t xml:space="preserve">. </w:t>
      </w:r>
      <w:proofErr w:type="spellStart"/>
      <w:r w:rsidR="0020765A" w:rsidRPr="0020765A">
        <w:rPr>
          <w:color w:val="000000"/>
        </w:rPr>
        <w:t>Шиховцев</w:t>
      </w:r>
      <w:proofErr w:type="spellEnd"/>
    </w:p>
    <w:p w:rsidR="00BA14B8" w:rsidRPr="009E0BD3" w:rsidRDefault="00BA14B8" w:rsidP="00BA14B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14B8" w:rsidRPr="00EE00EB" w:rsidRDefault="00BA14B8" w:rsidP="00BA14B8">
      <w:pPr>
        <w:ind w:firstLine="709"/>
        <w:jc w:val="both"/>
      </w:pPr>
    </w:p>
    <w:p w:rsidR="00BA14B8" w:rsidRPr="00BA14B8" w:rsidRDefault="00BA14B8" w:rsidP="00BA14B8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14B8" w:rsidRPr="00BA14B8" w:rsidRDefault="00BA14B8" w:rsidP="00BA14B8">
      <w:pPr>
        <w:ind w:firstLine="709"/>
        <w:jc w:val="both"/>
      </w:pPr>
    </w:p>
    <w:p w:rsidR="00BA14B8" w:rsidRPr="002B1965" w:rsidRDefault="00BA14B8" w:rsidP="00BA14B8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14B8" w:rsidRPr="00BA14B8" w:rsidRDefault="00BA14B8" w:rsidP="00BA14B8">
      <w:pPr>
        <w:jc w:val="both"/>
        <w:rPr>
          <w:spacing w:val="-3"/>
        </w:rPr>
      </w:pPr>
    </w:p>
    <w:p w:rsidR="00BA14B8" w:rsidRPr="0070465E" w:rsidRDefault="00BA14B8" w:rsidP="00BA14B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14B8" w:rsidRPr="00B4013A" w:rsidRDefault="00BA14B8" w:rsidP="00BA14B8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14B8" w:rsidRPr="00D23E71" w:rsidRDefault="00BA14B8" w:rsidP="00BA14B8">
      <w:pPr>
        <w:jc w:val="both"/>
        <w:rPr>
          <w:spacing w:val="-3"/>
        </w:rPr>
      </w:pPr>
    </w:p>
    <w:p w:rsidR="00BA14B8" w:rsidRPr="006E69FD" w:rsidRDefault="00BA14B8" w:rsidP="00BA14B8">
      <w:pPr>
        <w:ind w:firstLine="709"/>
        <w:jc w:val="both"/>
      </w:pPr>
      <w:r w:rsidRPr="006E69FD">
        <w:t>Согласовано:</w:t>
      </w:r>
    </w:p>
    <w:p w:rsidR="00BA14B8" w:rsidRPr="00EE00EB" w:rsidRDefault="00BA14B8" w:rsidP="00BA14B8">
      <w:pPr>
        <w:ind w:firstLine="709"/>
        <w:jc w:val="both"/>
      </w:pPr>
    </w:p>
    <w:p w:rsidR="00A8369D" w:rsidRDefault="00BA14B8" w:rsidP="00BA14B8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 xml:space="preserve">Элементы </w:t>
      </w:r>
      <w:proofErr w:type="spellStart"/>
      <w:r w:rsidRPr="00D7071C">
        <w:t>Web</w:t>
      </w:r>
      <w:proofErr w:type="spellEnd"/>
      <w:r w:rsidRPr="00D7071C"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В составе дисциплины </w:t>
      </w:r>
      <w:r>
        <w:t>шесть</w:t>
      </w:r>
      <w:r w:rsidRPr="00BC3F5E">
        <w:t xml:space="preserve"> разделов.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промежуточной аттестации – зачет в шестом семестре.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шести аудиторных работ, двух домашних работ и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2933DE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37557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702CFB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  <w:r w:rsidR="002933DE">
              <w:rPr>
                <w:bCs/>
                <w:lang w:val="en-US"/>
              </w:rPr>
              <w:t xml:space="preserve"> (4)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2933DE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  <w:bookmarkStart w:id="5" w:name="_GoBack"/>
            <w:bookmarkEnd w:id="5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FC4DA4" w:rsidRPr="003C3315" w:rsidTr="00702CFB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702CFB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FC4DA4" w:rsidRPr="003C3315" w:rsidTr="00702CFB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FC4DA4" w:rsidRPr="003C3315" w:rsidTr="00702CFB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155978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BE116A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5107D2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660280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</w:tcPr>
          <w:p w:rsidR="00FC4DA4" w:rsidRPr="00FC4DA4" w:rsidRDefault="00FC4DA4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F14E2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FC4DA4" w:rsidRPr="005111CE" w:rsidRDefault="00FC4DA4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FC4DA4" w:rsidRPr="008A48A7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B5615F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702CF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lastRenderedPageBreak/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281EB6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B57" w:rsidRDefault="00C00B57" w:rsidP="00C00B57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Default="000D0344" w:rsidP="000D0344">
      <w:pPr>
        <w:rPr>
          <w:i/>
        </w:rPr>
      </w:pPr>
      <w:r w:rsidRPr="008E2BA9">
        <w:rPr>
          <w:i/>
        </w:rPr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641240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D0344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8E2BA9" w:rsidRDefault="000D0344" w:rsidP="00702CF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853189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2933DE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EB4E61" w:rsidRDefault="00E07C1C" w:rsidP="00E07C1C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853190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E07C1C" w:rsidRPr="008E2BA9" w:rsidTr="00702CFB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E07C1C" w:rsidRPr="00DD03F6" w:rsidRDefault="00E07C1C" w:rsidP="00702CFB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E07C1C" w:rsidRPr="0070079A" w:rsidRDefault="00E07C1C" w:rsidP="00702CFB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</w:p>
        </w:tc>
      </w:tr>
      <w:tr w:rsidR="00E07C1C" w:rsidRPr="008E2BA9" w:rsidTr="00702CFB">
        <w:trPr>
          <w:trHeight w:val="27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E07C1C" w:rsidRPr="008E2BA9" w:rsidTr="00702CFB">
        <w:trPr>
          <w:trHeight w:val="265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r>
              <w:t>Зачёт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1C" w:rsidRPr="008E2BA9" w:rsidRDefault="00E07C1C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E07C1C" w:rsidRPr="008E2BA9" w:rsidTr="00702CFB">
        <w:trPr>
          <w:trHeight w:val="269"/>
          <w:jc w:val="center"/>
        </w:trPr>
        <w:tc>
          <w:tcPr>
            <w:tcW w:w="676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  <w:tc>
          <w:tcPr>
            <w:tcW w:w="4678" w:type="dxa"/>
            <w:vAlign w:val="center"/>
          </w:tcPr>
          <w:p w:rsidR="00E07C1C" w:rsidRPr="008E2BA9" w:rsidRDefault="00E07C1C" w:rsidP="00702CFB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E07C1C" w:rsidRPr="008E2BA9" w:rsidRDefault="00E07C1C" w:rsidP="00702CFB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E07C1C" w:rsidRPr="008E2BA9" w:rsidRDefault="00E07C1C" w:rsidP="00702CFB">
            <w:pPr>
              <w:jc w:val="center"/>
            </w:pPr>
          </w:p>
        </w:tc>
      </w:tr>
    </w:tbl>
    <w:p w:rsidR="00E07C1C" w:rsidRDefault="00E07C1C" w:rsidP="00E07C1C">
      <w:pPr>
        <w:autoSpaceDE w:val="0"/>
        <w:spacing w:before="120"/>
        <w:ind w:firstLine="709"/>
        <w:jc w:val="both"/>
        <w:rPr>
          <w:lang w:val="en-US"/>
        </w:rPr>
      </w:pPr>
    </w:p>
    <w:p w:rsidR="00E07C1C" w:rsidRDefault="00E07C1C" w:rsidP="00E07C1C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E07C1C" w:rsidRPr="002004BD" w:rsidRDefault="00E07C1C" w:rsidP="00E07C1C">
      <w:pPr>
        <w:pStyle w:val="a8"/>
        <w:numPr>
          <w:ilvl w:val="2"/>
          <w:numId w:val="33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E07C1C" w:rsidRPr="002004BD" w:rsidTr="00702CF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853191" r:id="rId12"/>
              </w:object>
            </w:r>
          </w:p>
        </w:tc>
      </w:tr>
      <w:tr w:rsidR="00E07C1C" w:rsidRPr="002004BD" w:rsidTr="00702CF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</w:p>
        </w:tc>
      </w:tr>
      <w:tr w:rsidR="00E07C1C" w:rsidRPr="002004BD" w:rsidTr="00702CFB">
        <w:trPr>
          <w:trHeight w:val="303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E07C1C" w:rsidRPr="002004BD" w:rsidTr="00702CFB">
        <w:trPr>
          <w:trHeight w:val="59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E07C1C" w:rsidRPr="002004BD" w:rsidTr="00702CFB">
        <w:trPr>
          <w:trHeight w:val="546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E07C1C" w:rsidRPr="002004BD" w:rsidTr="00702CFB">
        <w:trPr>
          <w:trHeight w:val="555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E07C1C" w:rsidRPr="002004BD" w:rsidTr="00702CFB">
        <w:trPr>
          <w:trHeight w:val="280"/>
          <w:jc w:val="center"/>
        </w:trPr>
        <w:tc>
          <w:tcPr>
            <w:tcW w:w="2405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E07C1C" w:rsidRPr="002004BD" w:rsidRDefault="00E07C1C" w:rsidP="00702CF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E07C1C" w:rsidRPr="002004BD" w:rsidRDefault="00E07C1C" w:rsidP="00702CF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E07C1C" w:rsidRPr="008F2B3F" w:rsidRDefault="002933DE" w:rsidP="00E07C1C">
      <w:pPr>
        <w:ind w:firstLine="709"/>
        <w:jc w:val="both"/>
      </w:pPr>
      <w:hyperlink r:id="rId13" w:history="1">
        <w:r w:rsidR="00E07C1C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E07C1C" w:rsidRPr="008F2B3F">
        <w:t>.</w:t>
      </w:r>
    </w:p>
    <w:p w:rsidR="00E07C1C" w:rsidRPr="002004BD" w:rsidRDefault="00E07C1C" w:rsidP="00E07C1C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853192" r:id="rId15"/>
        </w:object>
      </w:r>
      <w:r w:rsidRPr="004C61FB">
        <w:t>,</w:t>
      </w:r>
    </w:p>
    <w:p w:rsidR="00E07C1C" w:rsidRPr="004C61FB" w:rsidRDefault="00E07C1C" w:rsidP="00E07C1C">
      <w:pPr>
        <w:numPr>
          <w:ilvl w:val="0"/>
          <w:numId w:val="34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853193" r:id="rId17"/>
        </w:object>
      </w:r>
      <w:r w:rsidRPr="004C61FB">
        <w:t xml:space="preserve">, </w:t>
      </w:r>
    </w:p>
    <w:p w:rsidR="00E07C1C" w:rsidRPr="004C61FB" w:rsidRDefault="00E07C1C" w:rsidP="00E07C1C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853194" r:id="rId19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853195" r:id="rId2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853196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E07C1C" w:rsidRPr="004C61FB" w:rsidRDefault="00E07C1C" w:rsidP="00E07C1C">
      <w:pPr>
        <w:numPr>
          <w:ilvl w:val="2"/>
          <w:numId w:val="33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853197" r:id="rId25"/>
        </w:object>
      </w:r>
      <w:r w:rsidRPr="004C61FB">
        <w:t>, определяемого на основе БРС (Приложение 1) по формуле:</w:t>
      </w:r>
    </w:p>
    <w:p w:rsidR="00E07C1C" w:rsidRPr="004C61FB" w:rsidRDefault="00E07C1C" w:rsidP="00E07C1C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853198" r:id="rId27"/>
        </w:object>
      </w:r>
      <w:r w:rsidRPr="004C61FB">
        <w:rPr>
          <w:sz w:val="22"/>
          <w:szCs w:val="22"/>
        </w:rPr>
        <w:t>,</w:t>
      </w:r>
    </w:p>
    <w:p w:rsidR="00E07C1C" w:rsidRPr="004C61FB" w:rsidRDefault="00E07C1C" w:rsidP="00E07C1C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853199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853200" r:id="rId30"/>
        </w:object>
      </w:r>
      <w:r w:rsidRPr="004C61FB">
        <w:t>– балл технологической карты БРС за посещение лекций,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853201" r:id="rId31"/>
        </w:object>
      </w:r>
      <w:r w:rsidRPr="004C61FB">
        <w:t>– балл технологической карты БРС за посещение практических занятий,</w:t>
      </w:r>
    </w:p>
    <w:p w:rsidR="00E07C1C" w:rsidRPr="004C61FB" w:rsidRDefault="00E07C1C" w:rsidP="00E07C1C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853202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E07C1C" w:rsidRPr="004C61FB" w:rsidRDefault="00E07C1C" w:rsidP="00E07C1C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E07C1C" w:rsidRPr="004C61FB" w:rsidRDefault="00E07C1C" w:rsidP="00E07C1C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853203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641240" w:rsidRDefault="00E07C1C" w:rsidP="00E07C1C">
      <w:pPr>
        <w:autoSpaceDE w:val="0"/>
      </w:pP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E07C1C" w:rsidRPr="000D3396" w:rsidRDefault="00E07C1C" w:rsidP="00E07C1C">
      <w:pPr>
        <w:pStyle w:val="aa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E07C1C" w:rsidRDefault="00E07C1C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E07C1C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E07C1C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Платформа Live Journal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Сообщество LinkedIn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lastRenderedPageBreak/>
        <w:t>Крупнейшая социальная сеть Facebook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Русскоязычные социальные сети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Службы обмена сообщениями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Авторизация при помощи социальных сетей</w:t>
      </w: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sectPr w:rsidR="00E07C1C" w:rsidRPr="004C61FB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29"/>
  </w:num>
  <w:num w:numId="10">
    <w:abstractNumId w:val="16"/>
  </w:num>
  <w:num w:numId="11">
    <w:abstractNumId w:val="12"/>
  </w:num>
  <w:num w:numId="12">
    <w:abstractNumId w:val="24"/>
  </w:num>
  <w:num w:numId="13">
    <w:abstractNumId w:val="20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5"/>
  </w:num>
  <w:num w:numId="21">
    <w:abstractNumId w:val="33"/>
  </w:num>
  <w:num w:numId="22">
    <w:abstractNumId w:val="18"/>
  </w:num>
  <w:num w:numId="23">
    <w:abstractNumId w:val="22"/>
  </w:num>
  <w:num w:numId="24">
    <w:abstractNumId w:val="17"/>
  </w:num>
  <w:num w:numId="25">
    <w:abstractNumId w:val="32"/>
  </w:num>
  <w:num w:numId="26">
    <w:abstractNumId w:val="10"/>
  </w:num>
  <w:num w:numId="27">
    <w:abstractNumId w:val="15"/>
  </w:num>
  <w:num w:numId="28">
    <w:abstractNumId w:val="30"/>
  </w:num>
  <w:num w:numId="29">
    <w:abstractNumId w:val="26"/>
  </w:num>
  <w:num w:numId="30">
    <w:abstractNumId w:val="31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6"/>
  </w:num>
  <w:num w:numId="35">
    <w:abstractNumId w:val="25"/>
  </w:num>
  <w:num w:numId="36">
    <w:abstractNumId w:val="35"/>
  </w:num>
  <w:num w:numId="37">
    <w:abstractNumId w:val="27"/>
  </w:num>
  <w:num w:numId="38">
    <w:abstractNumId w:val="34"/>
  </w:num>
  <w:num w:numId="39">
    <w:abstractNumId w:val="9"/>
  </w:num>
  <w:num w:numId="40">
    <w:abstractNumId w:val="23"/>
  </w:num>
  <w:num w:numId="41">
    <w:abstractNumId w:val="13"/>
  </w:num>
  <w:num w:numId="42">
    <w:abstractNumId w:val="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335C4C"/>
    <w:rsid w:val="003447ED"/>
    <w:rsid w:val="00357ADD"/>
    <w:rsid w:val="003674D0"/>
    <w:rsid w:val="00372169"/>
    <w:rsid w:val="003756DC"/>
    <w:rsid w:val="003A0855"/>
    <w:rsid w:val="00410CCF"/>
    <w:rsid w:val="004B36AF"/>
    <w:rsid w:val="004B5358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8066A4"/>
    <w:rsid w:val="00817297"/>
    <w:rsid w:val="00824CD1"/>
    <w:rsid w:val="00876E12"/>
    <w:rsid w:val="008B0A1F"/>
    <w:rsid w:val="008B502C"/>
    <w:rsid w:val="008B7CA8"/>
    <w:rsid w:val="008F271F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50920"/>
    <w:rsid w:val="00A632CA"/>
    <w:rsid w:val="00A64414"/>
    <w:rsid w:val="00A8369D"/>
    <w:rsid w:val="00AB1E72"/>
    <w:rsid w:val="00B36692"/>
    <w:rsid w:val="00B561B2"/>
    <w:rsid w:val="00BA14B8"/>
    <w:rsid w:val="00C00B57"/>
    <w:rsid w:val="00C07AE5"/>
    <w:rsid w:val="00C27138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E075B"/>
    <w:rsid w:val="00F0151D"/>
    <w:rsid w:val="00F162E6"/>
    <w:rsid w:val="00F34D50"/>
    <w:rsid w:val="00F35521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75</TotalTime>
  <Pages>14</Pages>
  <Words>3417</Words>
  <Characters>19482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53</cp:revision>
  <cp:lastPrinted>1900-12-31T19:00:00Z</cp:lastPrinted>
  <dcterms:created xsi:type="dcterms:W3CDTF">2016-12-09T08:02:00Z</dcterms:created>
  <dcterms:modified xsi:type="dcterms:W3CDTF">2017-02-17T11:11:00Z</dcterms:modified>
</cp:coreProperties>
</file>