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>Протокол № ______   от __________ г.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97414" w:rsidRPr="00AC3780" w:rsidTr="003034B9">
        <w:trPr>
          <w:cantSplit/>
          <w:tblHeader/>
        </w:trPr>
        <w:tc>
          <w:tcPr>
            <w:tcW w:w="9853" w:type="dxa"/>
          </w:tcPr>
          <w:p w:rsidR="00B97414" w:rsidRPr="00AC3780" w:rsidRDefault="00B97414" w:rsidP="003034B9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B97414" w:rsidRPr="00AC3780" w:rsidTr="003034B9">
        <w:trPr>
          <w:cantSplit/>
        </w:trPr>
        <w:tc>
          <w:tcPr>
            <w:tcW w:w="9853" w:type="dxa"/>
          </w:tcPr>
          <w:p w:rsidR="00B97414" w:rsidRPr="00AC3780" w:rsidRDefault="00B97414" w:rsidP="003034B9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bookmarkStart w:id="4" w:name="_GoBack"/>
      <w:bookmarkEnd w:id="4"/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9"/>
        <w:gridCol w:w="717"/>
        <w:gridCol w:w="440"/>
        <w:gridCol w:w="303"/>
        <w:gridCol w:w="249"/>
        <w:gridCol w:w="363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3"/>
        <w:gridCol w:w="306"/>
        <w:gridCol w:w="554"/>
        <w:gridCol w:w="417"/>
        <w:gridCol w:w="481"/>
        <w:gridCol w:w="424"/>
        <w:gridCol w:w="427"/>
        <w:gridCol w:w="421"/>
        <w:gridCol w:w="574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ED3DA7">
        <w:trPr>
          <w:trHeight w:val="495"/>
          <w:jc w:val="center"/>
        </w:trPr>
        <w:tc>
          <w:tcPr>
            <w:tcW w:w="110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ED3DA7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5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3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ED3DA7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Р2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Р4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Создание и настройка одноранговой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r w:rsidR="006169D3"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663222" w:rsidRPr="00663222" w:rsidRDefault="002A5D4E" w:rsidP="00663222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663222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7A68A9" w:rsidRPr="002D2E55" w:rsidRDefault="007A68A9" w:rsidP="007A68A9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 .— Москва : Интернет-Университет Информационных Технологий, 2009 .— 360 с.</w:t>
      </w:r>
    </w:p>
    <w:p w:rsidR="007A68A9" w:rsidRDefault="007A68A9" w:rsidP="007A68A9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proofErr w:type="gramStart"/>
      <w:r w:rsidRPr="009962BD">
        <w:t>Олифе</w:t>
      </w:r>
      <w:r>
        <w:t>р</w:t>
      </w:r>
      <w:proofErr w:type="spellEnd"/>
      <w:r>
        <w:t>.–</w:t>
      </w:r>
      <w:proofErr w:type="gramEnd"/>
      <w:r>
        <w:t xml:space="preserve"> СПб.: </w:t>
      </w:r>
      <w:r w:rsidRPr="009962BD">
        <w:t>Питер, 2012</w:t>
      </w:r>
      <w:r>
        <w:t>. – 944 с.</w:t>
      </w:r>
    </w:p>
    <w:p w:rsidR="007A68A9" w:rsidRDefault="007A68A9" w:rsidP="007A68A9">
      <w:pPr>
        <w:spacing w:before="60" w:after="60"/>
        <w:ind w:left="720"/>
        <w:jc w:val="both"/>
        <w:rPr>
          <w:b/>
          <w:iCs/>
        </w:rPr>
      </w:pPr>
    </w:p>
    <w:p w:rsidR="009F44C5" w:rsidRPr="002A5D4E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proofErr w:type="gramStart"/>
      <w:r w:rsidRPr="009D6786">
        <w:t>Столлингс</w:t>
      </w:r>
      <w:proofErr w:type="spellEnd"/>
      <w:r w:rsidRPr="009D6786">
        <w:t xml:space="preserve"> ;</w:t>
      </w:r>
      <w:proofErr w:type="gramEnd"/>
      <w:r w:rsidRPr="009D6786">
        <w:t xml:space="preserve"> [пер. с англ. А. Леонтьева] .— 2-е изд. — М. ; СПб. ; Нижний Новгород [и др.] :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Таненбаум, Э</w:t>
      </w:r>
      <w:r w:rsidRPr="009D6786">
        <w:t xml:space="preserve">. Компьютерные сети / Э. Таненбаум; Пер. с англ. А. </w:t>
      </w:r>
      <w:proofErr w:type="gramStart"/>
      <w:r w:rsidRPr="009D6786">
        <w:t>Леонтьева .</w:t>
      </w:r>
      <w:proofErr w:type="gramEnd"/>
      <w:r w:rsidRPr="009D6786">
        <w:t>— 3-е изд. — М.; СПб.; Н. Новгород и др. :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 xml:space="preserve">ресурсы: АПИМ </w:t>
      </w:r>
      <w:proofErr w:type="spellStart"/>
      <w:r w:rsidRPr="00641240">
        <w:rPr>
          <w:color w:val="auto"/>
          <w:sz w:val="24"/>
          <w:szCs w:val="24"/>
        </w:rPr>
        <w:t>УрФУ</w:t>
      </w:r>
      <w:proofErr w:type="spellEnd"/>
      <w:r w:rsidRPr="00641240">
        <w:rPr>
          <w:color w:val="auto"/>
          <w:sz w:val="24"/>
          <w:szCs w:val="24"/>
        </w:rPr>
        <w:t xml:space="preserve">, СКУД </w:t>
      </w:r>
      <w:proofErr w:type="spellStart"/>
      <w:r w:rsidRPr="00641240">
        <w:rPr>
          <w:color w:val="auto"/>
          <w:sz w:val="24"/>
          <w:szCs w:val="24"/>
        </w:rPr>
        <w:t>УрФУ</w:t>
      </w:r>
      <w:proofErr w:type="spellEnd"/>
      <w:r w:rsidRPr="00641240">
        <w:rPr>
          <w:color w:val="auto"/>
          <w:sz w:val="24"/>
          <w:szCs w:val="24"/>
        </w:rPr>
        <w:t xml:space="preserve">, имеющие статус ЭОР </w:t>
      </w:r>
      <w:proofErr w:type="spellStart"/>
      <w:r w:rsidRPr="00641240">
        <w:rPr>
          <w:color w:val="auto"/>
          <w:sz w:val="24"/>
          <w:szCs w:val="24"/>
        </w:rPr>
        <w:t>УрФУ</w:t>
      </w:r>
      <w:proofErr w:type="spellEnd"/>
      <w:r w:rsidRPr="00641240">
        <w:rPr>
          <w:color w:val="auto"/>
          <w:sz w:val="24"/>
          <w:szCs w:val="24"/>
        </w:rPr>
        <w:t>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5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60594838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B97414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EE1BF1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тип предприятия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Сформулировать требования к маршрутизации локальной сети предприятия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модель коммутатора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авторизацию и доступ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таблицу маршрутизации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Получить полный файл конфигурации коммутатора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C65CC5" w:rsidRPr="00A900E3" w:rsidRDefault="00C65CC5" w:rsidP="00C65CC5">
      <w:pPr>
        <w:snapToGrid w:val="0"/>
      </w:pP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EE1BF1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почтовую службу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Создать новую учётную запись почтовой службы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Найти сведения о реквизитах подключения</w:t>
      </w:r>
    </w:p>
    <w:p w:rsidR="00C65CC5" w:rsidRDefault="00C65CC5" w:rsidP="00C65CC5">
      <w:pPr>
        <w:pStyle w:val="a8"/>
        <w:numPr>
          <w:ilvl w:val="0"/>
          <w:numId w:val="44"/>
        </w:numPr>
        <w:snapToGrid w:val="0"/>
      </w:pPr>
      <w:r>
        <w:t>Установить выбранный почтовый клиент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протоколы обмена с почтовой службой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почтовый клиент в соответствии с принятыми выше решениями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Проверить отправку и получение почтовых сообщений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C65CC5" w:rsidRPr="00A900E3" w:rsidRDefault="00C65CC5" w:rsidP="00C65CC5">
      <w:pPr>
        <w:snapToGrid w:val="0"/>
      </w:pP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EE1BF1" w:rsidRDefault="009466FC" w:rsidP="00EE1BF1">
      <w:pPr>
        <w:pStyle w:val="a8"/>
        <w:numPr>
          <w:ilvl w:val="0"/>
          <w:numId w:val="44"/>
        </w:numPr>
        <w:snapToGrid w:val="0"/>
      </w:pPr>
      <w:r>
        <w:t xml:space="preserve">Выбрать службу </w:t>
      </w:r>
      <w:r>
        <w:rPr>
          <w:lang w:val="en-US"/>
        </w:rPr>
        <w:t>DNS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Создать учётную запись для подключения к службе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Выбрать свободное доменное имя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Зарегистрировать доменное имя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 xml:space="preserve">Создать несколько записей </w:t>
      </w:r>
      <w:r>
        <w:rPr>
          <w:lang w:val="en-US"/>
        </w:rPr>
        <w:t>DNS</w:t>
      </w:r>
      <w:r>
        <w:t xml:space="preserve"> разного типа: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SOA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A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CNAME</w:t>
      </w:r>
    </w:p>
    <w:p w:rsid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PTR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Проверить доступность созданных записей</w:t>
      </w:r>
    </w:p>
    <w:p w:rsidR="009466FC" w:rsidRPr="00A900E3" w:rsidRDefault="009466FC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B3705D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D95A2F" w:rsidRDefault="00D95A2F" w:rsidP="00930AB3">
      <w:r w:rsidRPr="00D95A2F">
        <w:t>В ходе выполнения контрольной работы выполняется письменный ответ на следующие вопросы:</w:t>
      </w:r>
    </w:p>
    <w:p w:rsidR="00B3705D" w:rsidRDefault="00B3705D" w:rsidP="00930AB3"/>
    <w:p w:rsidR="00B5207F" w:rsidRDefault="006B1C4E" w:rsidP="00D95A2F">
      <w:pPr>
        <w:keepNext/>
        <w:keepLines/>
      </w:pPr>
      <w:r w:rsidRPr="006B1C4E">
        <w:t>Вариант 1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Сетевой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протокол? Показать на схеме</w:t>
      </w:r>
      <w:r>
        <w:rPr>
          <w:szCs w:val="28"/>
        </w:rPr>
        <w:t xml:space="preserve"> взаимодействия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 xml:space="preserve">3. Модель </w:t>
      </w:r>
      <w:r w:rsidRPr="009F2C57">
        <w:rPr>
          <w:szCs w:val="28"/>
          <w:lang w:val="en-US"/>
        </w:rPr>
        <w:t>OSI</w:t>
      </w:r>
      <w:r>
        <w:rPr>
          <w:szCs w:val="28"/>
        </w:rPr>
        <w:t>: кем и для чего создана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2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1</w:t>
      </w:r>
      <w:r w:rsidRPr="009F2C57">
        <w:rPr>
          <w:szCs w:val="28"/>
        </w:rPr>
        <w:t>. Транспортный уровень</w:t>
      </w:r>
      <w:r w:rsidR="00CF60DB">
        <w:rPr>
          <w:szCs w:val="28"/>
        </w:rPr>
        <w:t xml:space="preserve"> </w:t>
      </w:r>
      <w:r w:rsidRPr="009F2C57">
        <w:rPr>
          <w:szCs w:val="28"/>
        </w:rPr>
        <w:t>+ примеры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стек протоколов? П</w:t>
      </w:r>
      <w:r w:rsidR="00CF60DB">
        <w:rPr>
          <w:szCs w:val="28"/>
        </w:rPr>
        <w:t>ривести п</w:t>
      </w:r>
      <w:r w:rsidRPr="009F2C57">
        <w:rPr>
          <w:szCs w:val="28"/>
        </w:rPr>
        <w:t>римеры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Прикладной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примеры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3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Уровень представления данных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интерфейс</w:t>
      </w:r>
      <w:r w:rsidR="00CF60DB">
        <w:rPr>
          <w:szCs w:val="28"/>
        </w:rPr>
        <w:t>?</w:t>
      </w:r>
      <w:r w:rsidRPr="009F2C57">
        <w:rPr>
          <w:szCs w:val="28"/>
        </w:rPr>
        <w:t xml:space="preserve"> Показать на схеме</w:t>
      </w:r>
      <w:r>
        <w:rPr>
          <w:szCs w:val="28"/>
        </w:rPr>
        <w:t xml:space="preserve"> взаимодействия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Физический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Pr="006B1C4E" w:rsidRDefault="006B1C4E" w:rsidP="006B1C4E"/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8A3629F"/>
    <w:multiLevelType w:val="hybridMultilevel"/>
    <w:tmpl w:val="AAE82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 w15:restartNumberingAfterBreak="0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 w15:restartNumberingAfterBreak="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5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8" w15:restartNumberingAfterBreak="0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0" w15:restartNumberingAfterBreak="0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5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3"/>
  </w:num>
  <w:num w:numId="10">
    <w:abstractNumId w:val="18"/>
  </w:num>
  <w:num w:numId="11">
    <w:abstractNumId w:val="13"/>
  </w:num>
  <w:num w:numId="12">
    <w:abstractNumId w:val="28"/>
  </w:num>
  <w:num w:numId="13">
    <w:abstractNumId w:val="23"/>
  </w:num>
  <w:num w:numId="14">
    <w:abstractNumId w:val="2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2"/>
  </w:num>
  <w:num w:numId="20">
    <w:abstractNumId w:val="4"/>
  </w:num>
  <w:num w:numId="21">
    <w:abstractNumId w:val="37"/>
  </w:num>
  <w:num w:numId="22">
    <w:abstractNumId w:val="20"/>
  </w:num>
  <w:num w:numId="23">
    <w:abstractNumId w:val="26"/>
  </w:num>
  <w:num w:numId="24">
    <w:abstractNumId w:val="19"/>
  </w:num>
  <w:num w:numId="25">
    <w:abstractNumId w:val="36"/>
  </w:num>
  <w:num w:numId="26">
    <w:abstractNumId w:val="11"/>
  </w:num>
  <w:num w:numId="27">
    <w:abstractNumId w:val="16"/>
  </w:num>
  <w:num w:numId="28">
    <w:abstractNumId w:val="21"/>
  </w:num>
  <w:num w:numId="29">
    <w:abstractNumId w:val="34"/>
  </w:num>
  <w:num w:numId="30">
    <w:abstractNumId w:val="15"/>
  </w:num>
  <w:num w:numId="31">
    <w:abstractNumId w:val="27"/>
  </w:num>
  <w:num w:numId="32">
    <w:abstractNumId w:val="17"/>
  </w:num>
  <w:num w:numId="33">
    <w:abstractNumId w:val="35"/>
  </w:num>
  <w:num w:numId="34">
    <w:abstractNumId w:val="5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2"/>
  </w:num>
  <w:num w:numId="38">
    <w:abstractNumId w:val="10"/>
  </w:num>
  <w:num w:numId="39">
    <w:abstractNumId w:val="29"/>
  </w:num>
  <w:num w:numId="40">
    <w:abstractNumId w:val="24"/>
  </w:num>
  <w:num w:numId="41">
    <w:abstractNumId w:val="31"/>
  </w:num>
  <w:num w:numId="42">
    <w:abstractNumId w:val="30"/>
  </w:num>
  <w:num w:numId="43">
    <w:abstractNumId w:val="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3222"/>
    <w:rsid w:val="00667056"/>
    <w:rsid w:val="00667879"/>
    <w:rsid w:val="00685134"/>
    <w:rsid w:val="00696561"/>
    <w:rsid w:val="006B1C4E"/>
    <w:rsid w:val="006C0999"/>
    <w:rsid w:val="006F3BEB"/>
    <w:rsid w:val="00705705"/>
    <w:rsid w:val="0074051F"/>
    <w:rsid w:val="0077252C"/>
    <w:rsid w:val="007A68A9"/>
    <w:rsid w:val="007B749B"/>
    <w:rsid w:val="007C7680"/>
    <w:rsid w:val="007E2001"/>
    <w:rsid w:val="007E7F56"/>
    <w:rsid w:val="00817297"/>
    <w:rsid w:val="00832F74"/>
    <w:rsid w:val="00844E3C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466FC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3705D"/>
    <w:rsid w:val="00B42AED"/>
    <w:rsid w:val="00B42BAA"/>
    <w:rsid w:val="00B508C7"/>
    <w:rsid w:val="00B5207F"/>
    <w:rsid w:val="00B561B2"/>
    <w:rsid w:val="00B735C4"/>
    <w:rsid w:val="00B97414"/>
    <w:rsid w:val="00BC6417"/>
    <w:rsid w:val="00C02B7A"/>
    <w:rsid w:val="00C04E68"/>
    <w:rsid w:val="00C16E91"/>
    <w:rsid w:val="00C24D70"/>
    <w:rsid w:val="00C27138"/>
    <w:rsid w:val="00C65CC5"/>
    <w:rsid w:val="00C706F4"/>
    <w:rsid w:val="00C74C8F"/>
    <w:rsid w:val="00C81049"/>
    <w:rsid w:val="00CC2D46"/>
    <w:rsid w:val="00CD347A"/>
    <w:rsid w:val="00CF46C6"/>
    <w:rsid w:val="00CF48B9"/>
    <w:rsid w:val="00CF60DB"/>
    <w:rsid w:val="00D33186"/>
    <w:rsid w:val="00D660BF"/>
    <w:rsid w:val="00D84580"/>
    <w:rsid w:val="00D874E0"/>
    <w:rsid w:val="00D95A2F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D3DA7"/>
    <w:rsid w:val="00EE075B"/>
    <w:rsid w:val="00EE1BF1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4E4A3"/>
  <w15:docId w15:val="{5A1CA149-53E8-406E-A344-2F4B9430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i-exam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146</TotalTime>
  <Pages>14</Pages>
  <Words>3530</Words>
  <Characters>20124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88</cp:revision>
  <cp:lastPrinted>1900-12-31T19:00:00Z</cp:lastPrinted>
  <dcterms:created xsi:type="dcterms:W3CDTF">2016-12-09T08:02:00Z</dcterms:created>
  <dcterms:modified xsi:type="dcterms:W3CDTF">2018-12-10T07:00:00Z</dcterms:modified>
</cp:coreProperties>
</file>