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75452011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2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75452019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2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1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2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75452026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75452027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8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27271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2E5723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>Настройка агрегации каналов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1215CE" w:rsidRPr="00E437E7" w:rsidRDefault="001215CE" w:rsidP="001215CE">
      <w:pPr>
        <w:pStyle w:val="a7"/>
        <w:numPr>
          <w:ilvl w:val="0"/>
          <w:numId w:val="46"/>
        </w:numPr>
        <w:snapToGrid w:val="0"/>
      </w:pPr>
      <w:r w:rsidRPr="00E75C31">
        <w:t>Настройка беспроводных сетей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2E5723">
      <w:pPr>
        <w:pStyle w:val="a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</w:t>
      </w:r>
      <w:bookmarkStart w:id="27" w:name="_GoBack"/>
      <w:bookmarkEnd w:id="27"/>
      <w:r w:rsidRPr="00641240">
        <w:rPr>
          <w:b/>
          <w:color w:val="auto"/>
          <w:sz w:val="24"/>
          <w:szCs w:val="24"/>
        </w:rPr>
        <w:t>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4F4265D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7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3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55D33E9D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2"/>
  </w:num>
  <w:num w:numId="10">
    <w:abstractNumId w:val="19"/>
  </w:num>
  <w:num w:numId="11">
    <w:abstractNumId w:val="13"/>
  </w:num>
  <w:num w:numId="12">
    <w:abstractNumId w:val="27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6"/>
  </w:num>
  <w:num w:numId="21">
    <w:abstractNumId w:val="37"/>
  </w:num>
  <w:num w:numId="22">
    <w:abstractNumId w:val="21"/>
  </w:num>
  <w:num w:numId="23">
    <w:abstractNumId w:val="26"/>
  </w:num>
  <w:num w:numId="24">
    <w:abstractNumId w:val="20"/>
  </w:num>
  <w:num w:numId="25">
    <w:abstractNumId w:val="36"/>
  </w:num>
  <w:num w:numId="26">
    <w:abstractNumId w:val="11"/>
  </w:num>
  <w:num w:numId="27">
    <w:abstractNumId w:val="15"/>
  </w:num>
  <w:num w:numId="28">
    <w:abstractNumId w:val="22"/>
  </w:num>
  <w:num w:numId="29">
    <w:abstractNumId w:val="33"/>
  </w:num>
  <w:num w:numId="30">
    <w:abstractNumId w:val="34"/>
  </w:num>
  <w:num w:numId="31">
    <w:abstractNumId w:val="38"/>
  </w:num>
  <w:num w:numId="32">
    <w:abstractNumId w:val="35"/>
  </w:num>
  <w:num w:numId="33">
    <w:abstractNumId w:val="17"/>
  </w:num>
  <w:num w:numId="34">
    <w:abstractNumId w:val="18"/>
  </w:num>
  <w:num w:numId="35">
    <w:abstractNumId w:val="7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1"/>
  </w:num>
  <w:num w:numId="39">
    <w:abstractNumId w:val="10"/>
  </w:num>
  <w:num w:numId="40">
    <w:abstractNumId w:val="30"/>
  </w:num>
  <w:num w:numId="41">
    <w:abstractNumId w:val="28"/>
  </w:num>
  <w:num w:numId="42">
    <w:abstractNumId w:val="16"/>
  </w:num>
  <w:num w:numId="43">
    <w:abstractNumId w:val="3"/>
  </w:num>
  <w:num w:numId="44">
    <w:abstractNumId w:val="39"/>
  </w:num>
  <w:num w:numId="45">
    <w:abstractNumId w:val="29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103C8B"/>
    <w:rsid w:val="00104528"/>
    <w:rsid w:val="001215CE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E5723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B749B"/>
    <w:rsid w:val="007C768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56787"/>
    <w:rsid w:val="00956E05"/>
    <w:rsid w:val="00961B2A"/>
    <w:rsid w:val="00983959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97</TotalTime>
  <Pages>14</Pages>
  <Words>3028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66</cp:revision>
  <cp:lastPrinted>1900-12-31T19:00:00Z</cp:lastPrinted>
  <dcterms:created xsi:type="dcterms:W3CDTF">2016-12-09T08:02:00Z</dcterms:created>
  <dcterms:modified xsi:type="dcterms:W3CDTF">2017-02-22T07:35:00Z</dcterms:modified>
</cp:coreProperties>
</file>