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F769AB">
        <w:t>зачё</w:t>
      </w:r>
      <w:r w:rsidRPr="006D0524">
        <w:t>т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>
        <w:t>зачет</w:t>
      </w:r>
      <w:r w:rsidRPr="00C86C6E">
        <w:t>а.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tabs>
                <w:tab w:val="left" w:pos="284"/>
                <w:tab w:val="left" w:pos="426"/>
              </w:tabs>
              <w:jc w:val="both"/>
            </w:pPr>
            <w:r w:rsidRPr="00F769AB">
              <w:rPr>
                <w:b/>
              </w:rPr>
              <w:t>ОПК-4</w:t>
            </w:r>
            <w:r>
              <w:t>:</w:t>
            </w:r>
            <w:r w:rsidRPr="00F769AB">
              <w:t xml:space="preserve"> - </w:t>
            </w:r>
            <w:r>
              <w:t>способность</w:t>
            </w:r>
            <w:r w:rsidRPr="00F769AB">
              <w:t xml:space="preserve"> участвовать в настройке и наладке программно-аппаратных комплексов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  <w:rPr>
                <w:lang w:eastAsia="ru-RU"/>
              </w:rPr>
            </w:pPr>
            <w:r w:rsidRPr="00F769AB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F769AB">
              <w:rPr>
                <w:lang w:eastAsia="ru-RU"/>
              </w:rPr>
              <w:t xml:space="preserve"> </w:t>
            </w:r>
            <w:r>
              <w:t>способность</w:t>
            </w:r>
            <w:r w:rsidRPr="00F769A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F769AB">
              <w:rPr>
                <w:lang w:eastAsia="ru-RU"/>
              </w:rPr>
              <w:t xml:space="preserve"> 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769AB">
              <w:rPr>
                <w:b/>
              </w:rPr>
              <w:t>ДПК-2</w:t>
            </w:r>
            <w:r>
              <w:t>:</w:t>
            </w:r>
            <w:r w:rsidRPr="00F769AB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A26E9">
              <w:rPr>
                <w:b/>
              </w:rPr>
              <w:t>ДПК-3</w:t>
            </w:r>
            <w:r w:rsidR="00FA26E9">
              <w:t>:</w:t>
            </w:r>
            <w:r w:rsidRPr="00F769AB">
              <w:t xml:space="preserve"> способность использовать технологии разработки объектов про</w:t>
            </w:r>
            <w:r w:rsidR="00FA26E9">
              <w:t>фессиональной деятельности в об</w:t>
            </w:r>
            <w:r w:rsidRPr="00F769AB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DC3174">
      <w:pPr>
        <w:pStyle w:val="a8"/>
        <w:numPr>
          <w:ilvl w:val="0"/>
          <w:numId w:val="13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DC3174">
      <w:pPr>
        <w:pStyle w:val="a8"/>
        <w:numPr>
          <w:ilvl w:val="0"/>
          <w:numId w:val="13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proofErr w:type="spellStart"/>
      <w:r w:rsidRPr="004F6B8F">
        <w:rPr>
          <w:snapToGrid w:val="0"/>
          <w:lang w:val="en-US"/>
        </w:rPr>
        <w:t>AutoLISP</w:t>
      </w:r>
      <w:proofErr w:type="spellEnd"/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DC3174">
      <w:pPr>
        <w:pStyle w:val="a8"/>
        <w:numPr>
          <w:ilvl w:val="0"/>
          <w:numId w:val="14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DC3174">
      <w:pPr>
        <w:pStyle w:val="a8"/>
        <w:numPr>
          <w:ilvl w:val="0"/>
          <w:numId w:val="14"/>
        </w:numPr>
        <w:rPr>
          <w:snapToGrid w:val="0"/>
        </w:rPr>
      </w:pPr>
      <w:r w:rsidRPr="004F6B8F">
        <w:rPr>
          <w:snapToGrid w:val="0"/>
        </w:rPr>
        <w:lastRenderedPageBreak/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DC3174">
      <w:pPr>
        <w:pStyle w:val="a8"/>
        <w:numPr>
          <w:ilvl w:val="0"/>
          <w:numId w:val="15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DC3174">
      <w:pPr>
        <w:pStyle w:val="a8"/>
        <w:numPr>
          <w:ilvl w:val="0"/>
          <w:numId w:val="15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DC3174">
      <w:pPr>
        <w:pStyle w:val="a8"/>
        <w:numPr>
          <w:ilvl w:val="0"/>
          <w:numId w:val="15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DC3174">
      <w:pPr>
        <w:pStyle w:val="a8"/>
        <w:numPr>
          <w:ilvl w:val="0"/>
          <w:numId w:val="15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450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1134"/>
        <w:gridCol w:w="1086"/>
      </w:tblGrid>
      <w:tr w:rsidR="007A2751" w:rsidRPr="006410E5" w:rsidTr="00441EAC">
        <w:trPr>
          <w:trHeight w:val="789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5C1E4F" w:rsidRPr="006410E5" w:rsidTr="00441EAC">
        <w:trPr>
          <w:trHeight w:val="60"/>
          <w:jc w:val="center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A7832" w:rsidRDefault="005C1E4F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</w:tr>
      <w:tr w:rsidR="005C1E4F" w:rsidRPr="006410E5" w:rsidTr="00441EAC">
        <w:trPr>
          <w:trHeight w:val="351"/>
          <w:jc w:val="center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5C1E4F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441EAC">
              <w:rPr>
                <w:b/>
                <w:bCs/>
              </w:rPr>
              <w:t>2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lang w:val="en-US"/>
              </w:rPr>
            </w:pPr>
            <w:r>
              <w:t>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441EAC" w:rsidRDefault="00441EAC" w:rsidP="000806CE">
            <w:pPr>
              <w:snapToGrid w:val="0"/>
              <w:jc w:val="center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936BEC">
            <w:pPr>
              <w:snapToGrid w:val="0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17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snapToGrid w:val="0"/>
              <w:jc w:val="center"/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36</w:t>
            </w:r>
          </w:p>
        </w:tc>
      </w:tr>
      <w:tr w:rsidR="005C1E4F" w:rsidRPr="006410E5" w:rsidTr="00441EAC">
        <w:trPr>
          <w:trHeight w:val="403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2F287D" w:rsidRDefault="0044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441EAC" w:rsidRDefault="00441EA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</w:tr>
      <w:tr w:rsidR="005C1E4F" w:rsidRPr="006410E5" w:rsidTr="00441EAC">
        <w:trPr>
          <w:trHeight w:val="392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794ED9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44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5C1E4F" w:rsidRDefault="005C1E4F" w:rsidP="000806CE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216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332B34" w:rsidRDefault="00441EAC" w:rsidP="00332B34">
            <w:pPr>
              <w:snapToGrid w:val="0"/>
              <w:jc w:val="center"/>
            </w:pPr>
            <w:r>
              <w:t>70.00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108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3</w:t>
            </w: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441EAC">
      <w:pPr>
        <w:keepNext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57372">
              <w:rPr>
                <w:snapToGrid w:val="0"/>
              </w:rPr>
              <w:t>вертущки</w:t>
            </w:r>
            <w:proofErr w:type="spellEnd"/>
            <w:r w:rsidRPr="00A57372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lastRenderedPageBreak/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B51BB2">
              <w:rPr>
                <w:snapToGrid w:val="0"/>
                <w:lang w:val="en-US"/>
              </w:rPr>
              <w:t>AutoLISP</w:t>
            </w:r>
            <w:proofErr w:type="spellEnd"/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</w:t>
            </w:r>
            <w:proofErr w:type="gramStart"/>
            <w:r w:rsidRPr="008D3BC8">
              <w:rPr>
                <w:bCs/>
              </w:rPr>
              <w:t>в</w:t>
            </w:r>
            <w:proofErr w:type="gramEnd"/>
            <w:r w:rsidRPr="008D3BC8">
              <w:rPr>
                <w:bCs/>
              </w:rPr>
              <w:t xml:space="preserve">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проектирования технологии изготовления листовых деталей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6"/>
        <w:gridCol w:w="417"/>
        <w:gridCol w:w="414"/>
        <w:gridCol w:w="500"/>
        <w:gridCol w:w="301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29"/>
        <w:gridCol w:w="301"/>
        <w:gridCol w:w="542"/>
        <w:gridCol w:w="406"/>
        <w:gridCol w:w="413"/>
        <w:gridCol w:w="400"/>
        <w:gridCol w:w="434"/>
        <w:gridCol w:w="413"/>
        <w:gridCol w:w="397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9575CF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Объем дисциплины (</w:t>
            </w:r>
            <w:proofErr w:type="spellStart"/>
            <w:r>
              <w:rPr>
                <w:sz w:val="16"/>
                <w:szCs w:val="16"/>
              </w:rPr>
              <w:t>зач.ед</w:t>
            </w:r>
            <w:proofErr w:type="spellEnd"/>
            <w:r>
              <w:rPr>
                <w:sz w:val="16"/>
                <w:szCs w:val="16"/>
              </w:rPr>
              <w:t xml:space="preserve">.):  </w:t>
            </w:r>
            <w:r w:rsidRPr="009575CF">
              <w:rPr>
                <w:sz w:val="16"/>
                <w:szCs w:val="16"/>
              </w:rPr>
              <w:t>6</w:t>
            </w:r>
          </w:p>
        </w:tc>
      </w:tr>
      <w:tr w:rsidR="00936BEC" w:rsidRPr="003C3315" w:rsidTr="000F772D">
        <w:trPr>
          <w:trHeight w:val="495"/>
          <w:jc w:val="center"/>
        </w:trPr>
        <w:tc>
          <w:tcPr>
            <w:tcW w:w="113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0F772D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0F772D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5111CE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936BEC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291CF4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291CF4" w:rsidRDefault="00291CF4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291CF4" w:rsidRDefault="00936BEC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Default="006C62B3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proofErr w:type="gramStart"/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proofErr w:type="gramEnd"/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7738C0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DC07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DC3174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AutoCAD</w:t>
      </w:r>
      <w:proofErr w:type="spellEnd"/>
    </w:p>
    <w:p w:rsidR="005B1FDC" w:rsidRPr="00852359" w:rsidRDefault="00852359" w:rsidP="00DC3174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SolidWorks</w:t>
      </w:r>
      <w:proofErr w:type="spellEnd"/>
    </w:p>
    <w:p w:rsidR="00852359" w:rsidRPr="00DA77F6" w:rsidRDefault="00852359" w:rsidP="00DC3174">
      <w:pPr>
        <w:pStyle w:val="a8"/>
        <w:numPr>
          <w:ilvl w:val="0"/>
          <w:numId w:val="8"/>
        </w:numPr>
        <w:jc w:val="both"/>
      </w:pPr>
      <w:r w:rsidRPr="00852359">
        <w:t xml:space="preserve">Разработка макросов в системе </w:t>
      </w:r>
      <w:proofErr w:type="spellStart"/>
      <w:r w:rsidRPr="00852359">
        <w:t>SolidWorks</w:t>
      </w:r>
      <w:proofErr w:type="spellEnd"/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DC3174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Полещук Н. Н.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2014: Самоучитель – СПб.: БХВ-Петербург, 2014. – 464 с.</w:t>
      </w:r>
    </w:p>
    <w:p w:rsidR="00632C7F" w:rsidRPr="00EF5E45" w:rsidRDefault="00632C7F" w:rsidP="00DC3174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Жарков Н.В.,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Прокди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Р.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 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2012. – СПб.: Наука и Техника, 2012. -6 2 4 с.: ил. </w:t>
      </w:r>
    </w:p>
    <w:p w:rsidR="00632C7F" w:rsidRPr="00EF5E45" w:rsidRDefault="00632C7F" w:rsidP="00DC3174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 xml:space="preserve">КОМПАС – 3D,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Inventor,T-Flex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, Учебный курс. – СПб.:Питер,2011. – 336с.</w:t>
      </w:r>
    </w:p>
    <w:p w:rsidR="00632C7F" w:rsidRPr="00EF5E45" w:rsidRDefault="00632C7F" w:rsidP="00DC3174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proofErr w:type="gramStart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SolidWorks Simulation.</w:t>
      </w:r>
      <w:proofErr w:type="gram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DC3174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А. А.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2007/2008. Компьютерное моделирование в инженерной практике. – СПб.: БХВ-Петербург, 2008. –1040 с</w:t>
      </w:r>
    </w:p>
    <w:p w:rsidR="00632C7F" w:rsidRPr="00EF5E45" w:rsidRDefault="00632C7F" w:rsidP="00DC3174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Владимир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Тульев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 для инженера-машиностроителя. Санкт-Петербург “БХВ- П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е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тербург”.2007. – 467с.</w:t>
      </w:r>
    </w:p>
    <w:p w:rsidR="00632C7F" w:rsidRPr="00EF5E45" w:rsidRDefault="00632C7F" w:rsidP="00DC3174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Дэвид.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Москва. Л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о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ри,2009. –712c.</w:t>
      </w:r>
    </w:p>
    <w:p w:rsidR="00632C7F" w:rsidRDefault="00632C7F" w:rsidP="00DC3174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DC3174">
      <w:pPr>
        <w:pStyle w:val="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Шпур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Краузе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Ф. Автоматизация проектирования в машиностроении.     М.:Машиностроение,1988. – 643с.</w:t>
      </w:r>
    </w:p>
    <w:p w:rsidR="00632C7F" w:rsidRPr="00EF5E45" w:rsidRDefault="00632C7F" w:rsidP="00DC3174">
      <w:pPr>
        <w:pStyle w:val="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12. Кудрявцев Е. М.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AutoLISP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Программирование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14. Москва,1999. –365с.</w:t>
      </w:r>
    </w:p>
    <w:p w:rsidR="00632C7F" w:rsidRPr="00EF5E45" w:rsidRDefault="00632C7F" w:rsidP="00DC3174">
      <w:pPr>
        <w:pStyle w:val="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Зиммерс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З. САПР и автоматизация производс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ва, М., Мир, 1987. –502c.</w:t>
      </w:r>
    </w:p>
    <w:p w:rsidR="00632C7F" w:rsidRDefault="00632C7F" w:rsidP="00DC3174">
      <w:pPr>
        <w:pStyle w:val="2"/>
        <w:numPr>
          <w:ilvl w:val="0"/>
          <w:numId w:val="17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Рон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Хауз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Использование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DC3174">
      <w:pPr>
        <w:pStyle w:val="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Норенков И. П.  Основы автоматизированного проектирования: Учеб. для в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у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зов. - М.: Изд-во МГТУ им. Н.Э. Баумана, 2002. – 336 с    </w:t>
      </w:r>
    </w:p>
    <w:p w:rsidR="00632C7F" w:rsidRDefault="00632C7F" w:rsidP="00DC3174">
      <w:pPr>
        <w:pStyle w:val="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Дмитрий Ткачев.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2004. П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и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тер, 2004.– 431c.</w:t>
      </w:r>
    </w:p>
    <w:p w:rsidR="00632C7F" w:rsidRPr="00632C7F" w:rsidRDefault="00632C7F" w:rsidP="00DC3174">
      <w:pPr>
        <w:pStyle w:val="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Наталья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Дударева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., Сергей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Загайло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2006. Санкт-Петербург. “БХВ- Петербург”.2006. –318с.</w:t>
      </w:r>
    </w:p>
    <w:p w:rsidR="00632C7F" w:rsidRPr="00EF5E45" w:rsidRDefault="00632C7F" w:rsidP="00DC3174">
      <w:pPr>
        <w:pStyle w:val="2"/>
        <w:numPr>
          <w:ilvl w:val="0"/>
          <w:numId w:val="17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Н. Полещук.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Visual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LISP и секреты адаптации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DC3174">
      <w:pPr>
        <w:pStyle w:val="2"/>
        <w:numPr>
          <w:ilvl w:val="0"/>
          <w:numId w:val="18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Д. В., Кондратьев В. И. Моделирование конструкций и произво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д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ство    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 УрФУ,2013. –74с.</w:t>
      </w:r>
    </w:p>
    <w:p w:rsidR="00145958" w:rsidRPr="00FF26B5" w:rsidRDefault="00145958" w:rsidP="00DC3174">
      <w:pPr>
        <w:pStyle w:val="2"/>
        <w:numPr>
          <w:ilvl w:val="0"/>
          <w:numId w:val="18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Д.В., Кондратьев В. И. Разработка VBA-приложений в «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»: Учебно-методическое пособие. 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р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ФУ,2013. –  72с.</w:t>
      </w:r>
    </w:p>
    <w:p w:rsidR="00145958" w:rsidRPr="00FF26B5" w:rsidRDefault="00145958" w:rsidP="00DC3174">
      <w:pPr>
        <w:pStyle w:val="2"/>
        <w:numPr>
          <w:ilvl w:val="0"/>
          <w:numId w:val="18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Сборник лабораторных работ по дисц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и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Н. Д. Старостин.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графика”. Екатеринбург,  2001. – 36с.</w:t>
      </w:r>
    </w:p>
    <w:p w:rsidR="00145958" w:rsidRPr="00FF26B5" w:rsidRDefault="00145958" w:rsidP="00DC3174">
      <w:pPr>
        <w:pStyle w:val="2"/>
        <w:numPr>
          <w:ilvl w:val="0"/>
          <w:numId w:val="18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Трехмерные объекты в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AutoCAD:Методические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указания по дисциплине “Компьютерная графика”. Ек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теринбург 2001. – 40c.</w:t>
      </w:r>
    </w:p>
    <w:p w:rsidR="00145958" w:rsidRPr="00562CF4" w:rsidRDefault="00145958" w:rsidP="00DC3174">
      <w:pPr>
        <w:pStyle w:val="2"/>
        <w:numPr>
          <w:ilvl w:val="0"/>
          <w:numId w:val="1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DC3174">
      <w:pPr>
        <w:pStyle w:val="2"/>
        <w:numPr>
          <w:ilvl w:val="0"/>
          <w:numId w:val="18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Д. В.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приложений в среде графич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е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DC3174">
      <w:pPr>
        <w:pStyle w:val="2"/>
        <w:numPr>
          <w:ilvl w:val="0"/>
          <w:numId w:val="18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: Учебно-методическое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пособие.ГОУ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DC3174">
      <w:pPr>
        <w:pStyle w:val="2"/>
        <w:numPr>
          <w:ilvl w:val="0"/>
          <w:numId w:val="19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145958" w:rsidRDefault="00145958" w:rsidP="00DC3174">
      <w:pPr>
        <w:pStyle w:val="2"/>
        <w:numPr>
          <w:ilvl w:val="0"/>
          <w:numId w:val="19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DC3174">
      <w:pPr>
        <w:pStyle w:val="2"/>
        <w:numPr>
          <w:ilvl w:val="0"/>
          <w:numId w:val="19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DC3174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DC3174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DC3174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instrText xml:space="preserve"> HYPERLINK "http://study.ustu.ru/view/aid_view.aspx?AidId=8866" </w:instrText>
      </w:r>
      <w:r w:rsidRPr="008509F2">
        <w:rPr>
          <w:rFonts w:ascii="Times New Roman" w:hAnsi="Times New Roman" w:cs="Times New Roman"/>
          <w:b w:val="0"/>
          <w:i w:val="0"/>
          <w:sz w:val="24"/>
          <w:szCs w:val="24"/>
        </w:rPr>
      </w:r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separate"/>
      </w:r>
      <w:r w:rsidRPr="00644A1B">
        <w:rPr>
          <w:rStyle w:val="aa"/>
          <w:rFonts w:ascii="Times New Roman" w:hAnsi="Times New Roman"/>
          <w:b w:val="0"/>
          <w:i w:val="0"/>
          <w:sz w:val="24"/>
          <w:szCs w:val="24"/>
        </w:rPr>
        <w:t>http://study.ustu.ru/view/aid_view.aspx?AidId=8866</w:t>
      </w:r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ТРЕХМЕРНОЕ МОДЕЛИРОВАНИЕ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FE449F" w:rsidRDefault="00FE449F" w:rsidP="00FE449F">
      <w:pPr>
        <w:ind w:left="969"/>
      </w:pPr>
      <w:hyperlink r:id="rId7" w:history="1">
        <w:r w:rsidRPr="00FF26B5">
          <w:rPr>
            <w:rStyle w:val="aa"/>
          </w:rPr>
          <w:t>http://study.ustu.ru/view/aid_view.aspx?AidId=886</w:t>
        </w:r>
      </w:hyperlink>
      <w:r w:rsidRPr="00FF26B5">
        <w:t xml:space="preserve"> Дата создания:  08.09.2009 15:56:10 Эле</w:t>
      </w:r>
      <w:r w:rsidRPr="00FF26B5">
        <w:t>к</w:t>
      </w:r>
      <w:r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Default="00C00B57" w:rsidP="00F0325B">
      <w:pPr>
        <w:ind w:firstLine="720"/>
        <w:jc w:val="both"/>
        <w:rPr>
          <w:lang w:val="en-US"/>
        </w:rPr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</w:t>
      </w:r>
      <w:bookmarkStart w:id="23" w:name="_GoBack"/>
      <w:bookmarkEnd w:id="23"/>
      <w:r w:rsidRPr="00641240">
        <w:rPr>
          <w:b/>
        </w:rPr>
        <w:t>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DC3174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DC3174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DC3174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441EA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441EA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441EA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342DD5" w:rsidP="00441EA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VII, </w:t>
            </w:r>
            <w:r w:rsidRPr="00821C10">
              <w:t>1-</w:t>
            </w:r>
            <w:r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441EAC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441EAC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2E3227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441EA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441EA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441EA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42DD5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441EAC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8</w:t>
            </w:r>
            <w:r w:rsidR="00FA0C3F">
              <w:t>-9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11</w:t>
            </w:r>
            <w:r w:rsidR="00FA0C3F">
              <w:t>-12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441EAC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441EA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441EA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441EA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DC3174">
      <w:pPr>
        <w:pStyle w:val="a8"/>
        <w:numPr>
          <w:ilvl w:val="0"/>
          <w:numId w:val="12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DC3174">
      <w:pPr>
        <w:pStyle w:val="a8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DC3174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441EAC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441EAC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8" o:title=""/>
                </v:shape>
                <o:OLEObject Type="Embed" ProgID="Equation.3" ShapeID="_x0000_i1025" DrawAspect="Content" ObjectID="_1554711328" r:id="rId9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441EAC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441EAC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441EAC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441EAC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DC3174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0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DC3174">
      <w:pPr>
        <w:pStyle w:val="a8"/>
        <w:numPr>
          <w:ilvl w:val="0"/>
          <w:numId w:val="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DC3174">
      <w:pPr>
        <w:pStyle w:val="a8"/>
        <w:numPr>
          <w:ilvl w:val="0"/>
          <w:numId w:val="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TraceMode</w:t>
      </w:r>
      <w:proofErr w:type="spellEnd"/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DC3174">
      <w:pPr>
        <w:pStyle w:val="a8"/>
        <w:numPr>
          <w:ilvl w:val="0"/>
          <w:numId w:val="9"/>
        </w:numPr>
        <w:ind w:left="360"/>
        <w:jc w:val="both"/>
      </w:pPr>
      <w:r>
        <w:t xml:space="preserve">Разработать в среде </w:t>
      </w:r>
      <w:proofErr w:type="spellStart"/>
      <w:r w:rsidRPr="007B15F2">
        <w:rPr>
          <w:lang w:val="en-US"/>
        </w:rPr>
        <w:t>OpenScada</w:t>
      </w:r>
      <w:proofErr w:type="spellEnd"/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B76791">
        <w:rPr>
          <w:b/>
          <w:color w:val="auto"/>
          <w:sz w:val="24"/>
          <w:szCs w:val="24"/>
          <w:lang w:val="ru-RU"/>
        </w:rPr>
        <w:t>темы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DC3174">
      <w:pPr>
        <w:pStyle w:val="a8"/>
        <w:numPr>
          <w:ilvl w:val="0"/>
          <w:numId w:val="1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DC3174">
      <w:pPr>
        <w:pStyle w:val="a8"/>
        <w:numPr>
          <w:ilvl w:val="0"/>
          <w:numId w:val="1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DC3174">
      <w:pPr>
        <w:pStyle w:val="a8"/>
        <w:numPr>
          <w:ilvl w:val="0"/>
          <w:numId w:val="1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DC3174">
      <w:pPr>
        <w:pStyle w:val="a8"/>
        <w:numPr>
          <w:ilvl w:val="0"/>
          <w:numId w:val="1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DC3174">
      <w:pPr>
        <w:pStyle w:val="a8"/>
        <w:numPr>
          <w:ilvl w:val="0"/>
          <w:numId w:val="1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DC3174">
      <w:pPr>
        <w:pStyle w:val="a8"/>
        <w:numPr>
          <w:ilvl w:val="0"/>
          <w:numId w:val="1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DC3174">
      <w:pPr>
        <w:pStyle w:val="a8"/>
        <w:numPr>
          <w:ilvl w:val="0"/>
          <w:numId w:val="1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DC3174">
      <w:pPr>
        <w:pStyle w:val="a8"/>
        <w:numPr>
          <w:ilvl w:val="0"/>
          <w:numId w:val="1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DC3174">
      <w:pPr>
        <w:pStyle w:val="a8"/>
        <w:numPr>
          <w:ilvl w:val="0"/>
          <w:numId w:val="1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DC3174">
      <w:pPr>
        <w:pStyle w:val="a8"/>
        <w:numPr>
          <w:ilvl w:val="0"/>
          <w:numId w:val="1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DC3174">
      <w:pPr>
        <w:pStyle w:val="a8"/>
        <w:numPr>
          <w:ilvl w:val="0"/>
          <w:numId w:val="10"/>
        </w:numPr>
        <w:ind w:left="360"/>
      </w:pPr>
      <w:r>
        <w:t xml:space="preserve">Анализ </w:t>
      </w:r>
      <w:proofErr w:type="gramStart"/>
      <w:r>
        <w:t>современных</w:t>
      </w:r>
      <w:proofErr w:type="gramEnd"/>
      <w:r>
        <w:t xml:space="preserve">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DC3174">
      <w:pPr>
        <w:pStyle w:val="a8"/>
        <w:numPr>
          <w:ilvl w:val="0"/>
          <w:numId w:val="1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DC3174">
      <w:pPr>
        <w:pStyle w:val="a8"/>
        <w:numPr>
          <w:ilvl w:val="0"/>
          <w:numId w:val="1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DC3174">
      <w:pPr>
        <w:pStyle w:val="a8"/>
        <w:numPr>
          <w:ilvl w:val="0"/>
          <w:numId w:val="1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DC3174">
      <w:pPr>
        <w:pStyle w:val="a8"/>
        <w:numPr>
          <w:ilvl w:val="0"/>
          <w:numId w:val="1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F44FB" w:rsidRPr="00530E93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 xml:space="preserve">Методы </w:t>
      </w:r>
      <w:proofErr w:type="spellStart"/>
      <w:r>
        <w:t>межпроцессной</w:t>
      </w:r>
      <w:proofErr w:type="spellEnd"/>
      <w:r>
        <w:t xml:space="preserve"> коммуникации. </w:t>
      </w:r>
      <w:proofErr w:type="spellStart"/>
      <w:r>
        <w:t>ActiveX</w:t>
      </w:r>
      <w:proofErr w:type="spellEnd"/>
      <w:r>
        <w:t>-объекты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OPC-серверы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F44FB" w:rsidRDefault="009F44FB" w:rsidP="00DC3174">
      <w:pPr>
        <w:pStyle w:val="a8"/>
        <w:numPr>
          <w:ilvl w:val="0"/>
          <w:numId w:val="11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: разработка </w:t>
      </w:r>
      <w:proofErr w:type="gramStart"/>
      <w:r w:rsidRPr="00077544">
        <w:t>человека-машинного</w:t>
      </w:r>
      <w:proofErr w:type="gramEnd"/>
      <w:r w:rsidRPr="00077544">
        <w:t xml:space="preserve"> интерфейса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Понятие события. Понятие </w:t>
      </w:r>
      <w:proofErr w:type="spellStart"/>
      <w:r w:rsidRPr="00077544">
        <w:t>аларма</w:t>
      </w:r>
      <w:proofErr w:type="spellEnd"/>
      <w:r w:rsidRPr="00077544">
        <w:t xml:space="preserve">. Основные виды </w:t>
      </w:r>
      <w:proofErr w:type="spellStart"/>
      <w:r w:rsidRPr="00077544">
        <w:t>алармов</w:t>
      </w:r>
      <w:proofErr w:type="spellEnd"/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F44FB" w:rsidRPr="00077544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F44FB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F44FB" w:rsidRPr="0089398B" w:rsidRDefault="009F44FB" w:rsidP="00DC3174">
      <w:pPr>
        <w:pStyle w:val="a8"/>
        <w:numPr>
          <w:ilvl w:val="0"/>
          <w:numId w:val="11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F44FB" w:rsidRPr="009F44FB" w:rsidRDefault="009F44FB" w:rsidP="009F44FB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ўа¬»¬¦¬ў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5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10"/>
  </w:num>
  <w:num w:numId="5">
    <w:abstractNumId w:val="18"/>
  </w:num>
  <w:num w:numId="6">
    <w:abstractNumId w:val="5"/>
  </w:num>
  <w:num w:numId="7">
    <w:abstractNumId w:val="4"/>
  </w:num>
  <w:num w:numId="8">
    <w:abstractNumId w:val="1"/>
  </w:num>
  <w:num w:numId="9">
    <w:abstractNumId w:val="16"/>
  </w:num>
  <w:num w:numId="10">
    <w:abstractNumId w:val="2"/>
  </w:num>
  <w:num w:numId="11">
    <w:abstractNumId w:val="12"/>
  </w:num>
  <w:num w:numId="12">
    <w:abstractNumId w:val="17"/>
  </w:num>
  <w:num w:numId="13">
    <w:abstractNumId w:val="9"/>
  </w:num>
  <w:num w:numId="14">
    <w:abstractNumId w:val="13"/>
  </w:num>
  <w:num w:numId="15">
    <w:abstractNumId w:val="11"/>
  </w:num>
  <w:num w:numId="16">
    <w:abstractNumId w:val="3"/>
  </w:num>
  <w:num w:numId="17">
    <w:abstractNumId w:val="7"/>
  </w:num>
  <w:num w:numId="18">
    <w:abstractNumId w:val="14"/>
  </w:num>
  <w:num w:numId="1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E5009"/>
    <w:rsid w:val="000F5789"/>
    <w:rsid w:val="000F772D"/>
    <w:rsid w:val="00103C8B"/>
    <w:rsid w:val="00111029"/>
    <w:rsid w:val="00112D45"/>
    <w:rsid w:val="00143AF4"/>
    <w:rsid w:val="001446FF"/>
    <w:rsid w:val="00145958"/>
    <w:rsid w:val="00172F68"/>
    <w:rsid w:val="00175B56"/>
    <w:rsid w:val="0018106A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22E91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A0855"/>
    <w:rsid w:val="003B7385"/>
    <w:rsid w:val="003C1530"/>
    <w:rsid w:val="003E2337"/>
    <w:rsid w:val="003E5E38"/>
    <w:rsid w:val="003F6ECB"/>
    <w:rsid w:val="00402E08"/>
    <w:rsid w:val="00404A1E"/>
    <w:rsid w:val="00410CCF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B8F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732C5"/>
    <w:rsid w:val="00580674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2C7F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52359"/>
    <w:rsid w:val="00860401"/>
    <w:rsid w:val="00876E12"/>
    <w:rsid w:val="008B0A1F"/>
    <w:rsid w:val="008B502C"/>
    <w:rsid w:val="008B6C8A"/>
    <w:rsid w:val="008B7CA8"/>
    <w:rsid w:val="008C3E90"/>
    <w:rsid w:val="008E1DFC"/>
    <w:rsid w:val="008F271F"/>
    <w:rsid w:val="008F53B8"/>
    <w:rsid w:val="008F6895"/>
    <w:rsid w:val="0091797A"/>
    <w:rsid w:val="00936BEC"/>
    <w:rsid w:val="0094696E"/>
    <w:rsid w:val="00956E05"/>
    <w:rsid w:val="009575CF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420C6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27138"/>
    <w:rsid w:val="00C3603F"/>
    <w:rsid w:val="00C36BBA"/>
    <w:rsid w:val="00C443EE"/>
    <w:rsid w:val="00C74C8F"/>
    <w:rsid w:val="00C81049"/>
    <w:rsid w:val="00C81A3C"/>
    <w:rsid w:val="00C83390"/>
    <w:rsid w:val="00CA6ABB"/>
    <w:rsid w:val="00CC2D46"/>
    <w:rsid w:val="00CF2BC0"/>
    <w:rsid w:val="00CF48B9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7F6"/>
    <w:rsid w:val="00DB61B1"/>
    <w:rsid w:val="00DC3174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9C8BF-CF12-45BF-89FB-74B247D8F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300</TotalTime>
  <Pages>15</Pages>
  <Words>3846</Words>
  <Characters>21925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193</cp:revision>
  <cp:lastPrinted>1900-12-31T19:00:00Z</cp:lastPrinted>
  <dcterms:created xsi:type="dcterms:W3CDTF">2016-12-09T08:02:00Z</dcterms:created>
  <dcterms:modified xsi:type="dcterms:W3CDTF">2017-04-26T06:28:00Z</dcterms:modified>
</cp:coreProperties>
</file>