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1D79ED" w:rsidRPr="00F22E37" w:rsidRDefault="001D79ED" w:rsidP="00C4009C">
            <w:r w:rsidRPr="00F22E37"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>Элементы Web-технологий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A82417" w:rsidRPr="00EE00EB" w:rsidTr="00C400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A82417" w:rsidRPr="00EE00EB" w:rsidTr="00C400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A82417" w:rsidRPr="00EE00EB" w:rsidTr="00C400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A82417" w:rsidRPr="00EE00EB" w:rsidTr="00C4009C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rPr>
                <w:color w:val="auto"/>
              </w:rPr>
              <w:t>Web-дизайн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306284" w:rsidRDefault="00A82417" w:rsidP="00C4009C"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</w:t>
            </w:r>
          </w:p>
        </w:tc>
      </w:tr>
      <w:tr w:rsidR="00A82417" w:rsidRPr="00EE00EB" w:rsidTr="00C4009C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Информационные технологии в социальных коммуникациях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Default="00A82417" w:rsidP="00C4009C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C4009C">
            <w:pPr>
              <w:jc w:val="right"/>
            </w:pPr>
          </w:p>
        </w:tc>
      </w:tr>
      <w:tr w:rsidR="00A82417" w:rsidRPr="00EE00EB" w:rsidTr="00C4009C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Основы Web-программирования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</w:t>
            </w:r>
          </w:p>
        </w:tc>
      </w:tr>
      <w:tr w:rsidR="00A82417" w:rsidRPr="00EE00EB" w:rsidTr="00C4009C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26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A82417">
        <w:tc>
          <w:tcPr>
            <w:tcW w:w="1673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>Способность осваивать и разрабатывать компоненты Web-технологий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</w:t>
            </w:r>
            <w:r w:rsidRPr="00A82417">
              <w:t>з</w:t>
            </w:r>
            <w:r w:rsidRPr="00A82417">
              <w:t>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</w:t>
            </w:r>
            <w:r w:rsidRPr="00A82417">
              <w:t>с</w:t>
            </w:r>
            <w:r w:rsidRPr="00A82417">
              <w:t>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</w:t>
            </w:r>
            <w:r w:rsidRPr="00A82417">
              <w:t>е</w:t>
            </w:r>
            <w:r w:rsidRPr="00A82417">
              <w:t>ятельности на основе информационной и библиографической культуры с пр</w:t>
            </w:r>
            <w:r w:rsidRPr="00A82417">
              <w:t>и</w:t>
            </w:r>
            <w:r w:rsidRPr="00A82417">
              <w:t>менением информационно-коммуникационных технологий и  с учетом основных требований инфо</w:t>
            </w:r>
            <w:r w:rsidRPr="00A82417">
              <w:t>р</w:t>
            </w:r>
            <w:r w:rsidRPr="00A82417">
              <w:t>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</w:t>
            </w:r>
            <w:r w:rsidRPr="00A82417">
              <w:t>м</w:t>
            </w:r>
            <w:r w:rsidRPr="00A82417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</w:t>
            </w:r>
            <w:r w:rsidRPr="00A82417">
              <w:rPr>
                <w:lang w:eastAsia="ru-RU"/>
              </w:rPr>
              <w:t>и</w:t>
            </w:r>
            <w:r w:rsidRPr="00A82417">
              <w:rPr>
                <w:lang w:eastAsia="ru-RU"/>
              </w:rPr>
              <w:t>ческое состояние вычислительного оборудования и осуществлять необх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 xml:space="preserve">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>фессиональной деятельности в областях: машиностроение, приборостро</w:t>
            </w:r>
            <w:r w:rsidRPr="00A82417">
              <w:rPr>
                <w:lang w:eastAsia="ru-RU"/>
              </w:rPr>
              <w:t>е</w:t>
            </w:r>
            <w:r w:rsidRPr="00A82417">
              <w:rPr>
                <w:lang w:eastAsia="ru-RU"/>
              </w:rPr>
              <w:t>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</w:t>
            </w:r>
            <w:r w:rsidRPr="00A82417">
              <w:rPr>
                <w:lang w:eastAsia="ru-RU"/>
              </w:rPr>
              <w:t>а</w:t>
            </w:r>
            <w:r w:rsidRPr="00A82417">
              <w:rPr>
                <w:lang w:eastAsia="ru-RU"/>
              </w:rPr>
              <w:t>ционного общес</w:t>
            </w:r>
            <w:r w:rsidRPr="00A82417">
              <w:rPr>
                <w:lang w:eastAsia="ru-RU"/>
              </w:rPr>
              <w:t>т</w:t>
            </w:r>
            <w:r w:rsidRPr="00A82417">
              <w:rPr>
                <w:lang w:eastAsia="ru-RU"/>
              </w:rPr>
              <w:t xml:space="preserve">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306284">
              <w:rPr>
                <w:color w:val="auto"/>
              </w:rPr>
              <w:t>Web-дизайн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Основы Web-программирования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lastRenderedPageBreak/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з.е. (</w:t>
      </w:r>
      <w:r>
        <w:rPr>
          <w:color w:val="auto"/>
        </w:rPr>
        <w:t xml:space="preserve">36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2294400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2294401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3043EA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2294402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2294403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2294404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2294405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3EA" w:rsidRDefault="003043EA">
      <w:r>
        <w:separator/>
      </w:r>
    </w:p>
  </w:endnote>
  <w:endnote w:type="continuationSeparator" w:id="0">
    <w:p w:rsidR="003043EA" w:rsidRDefault="0030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A8241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35DA8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3EA" w:rsidRDefault="003043EA">
      <w:r>
        <w:separator/>
      </w:r>
    </w:p>
  </w:footnote>
  <w:footnote w:type="continuationSeparator" w:id="0">
    <w:p w:rsidR="003043EA" w:rsidRDefault="00304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43EA"/>
    <w:rsid w:val="003209BC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81</cp:revision>
  <cp:lastPrinted>2013-04-29T06:42:00Z</cp:lastPrinted>
  <dcterms:created xsi:type="dcterms:W3CDTF">2016-12-09T08:28:00Z</dcterms:created>
  <dcterms:modified xsi:type="dcterms:W3CDTF">2017-03-29T07:04:00Z</dcterms:modified>
</cp:coreProperties>
</file>