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8</w:t>
            </w:r>
          </w:p>
          <w:p w:rsidR="005A6AC5" w:rsidRPr="00F22E37" w:rsidRDefault="005A6AC5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5A6AC5" w:rsidRPr="009F4598" w:rsidRDefault="005A6AC5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5A6AC5" w:rsidRPr="004C3174" w:rsidRDefault="005A6AC5" w:rsidP="00F622A0">
            <w:r w:rsidRPr="00F66B8F">
              <w:rPr>
                <w:lang w:eastAsia="ru-RU"/>
              </w:rPr>
              <w:t>1132342</w:t>
            </w:r>
          </w:p>
        </w:tc>
      </w:tr>
      <w:tr w:rsidR="005A6AC5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5A6AC5" w:rsidRPr="00F22E37" w:rsidRDefault="005A6AC5" w:rsidP="00F622A0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5A6AC5" w:rsidRPr="00D84580" w:rsidRDefault="005A6AC5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5A6AC5" w:rsidRPr="00F22E37" w:rsidRDefault="005A6AC5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A6AC5" w:rsidRPr="00F22E37" w:rsidRDefault="005A6AC5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5A6AC5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5A6AC5" w:rsidRDefault="005A6AC5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5A6AC5" w:rsidRPr="00AC0130" w:rsidRDefault="005A6AC5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5A6AC5" w:rsidRPr="00976E90" w:rsidRDefault="005A6AC5" w:rsidP="00936BEC">
            <w:r w:rsidRPr="00976E90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5A6AC5" w:rsidRPr="009F4598" w:rsidRDefault="005A6AC5" w:rsidP="00936BEC"/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Pr="008F33BC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5A6AC5" w:rsidRDefault="005A6AC5" w:rsidP="00F622A0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5A6AC5" w:rsidRPr="00636E97" w:rsidRDefault="005A6AC5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481C">
        <w:t>зачёта</w:t>
      </w:r>
      <w:bookmarkStart w:id="2" w:name="_GoBack"/>
      <w:bookmarkEnd w:id="2"/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F10733" w:rsidRPr="001536BF" w:rsidTr="00F622A0">
        <w:trPr>
          <w:jc w:val="center"/>
        </w:trPr>
        <w:tc>
          <w:tcPr>
            <w:tcW w:w="9421" w:type="dxa"/>
          </w:tcPr>
          <w:p w:rsidR="00F10733" w:rsidRPr="001536BF" w:rsidRDefault="00F10733" w:rsidP="00F622A0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использовать технологии разработки объектов профессиональной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</w:t>
            </w:r>
            <w:r>
              <w:rPr>
                <w:lang w:eastAsia="ru-RU"/>
              </w:rPr>
              <w:t>гическими процессами, меха</w:t>
            </w:r>
            <w:r w:rsidRPr="001536BF">
              <w:rPr>
                <w:lang w:eastAsia="ru-RU"/>
              </w:rPr>
              <w:t>ника, техническая физика, энергетика, ядерная энергетика, силовая электроника, металлургия, строительство, транспорт, железнодорожный транспорт, связь, телекоммуникации, управление инфокоммуникациями, почтовая связь, химическая промышленность, сельское хозяйство, текстильная и легкая промышленность, пищевая промышленность, медицинские и биотехнологии, горное дело, обеспечение безопасности подземных предприятий и производств, геология, нефтегазовая отрасль, геодезия и картография, геоинформационные системы, лесной комплекс, химико-лесной комплекс, экология, сфера сервиса, системы массовой информации, дизайн, медиаиндустрия,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  <w:tr w:rsidR="00F10733" w:rsidRPr="001536BF" w:rsidTr="00F622A0">
        <w:trPr>
          <w:jc w:val="center"/>
        </w:trPr>
        <w:tc>
          <w:tcPr>
            <w:tcW w:w="9421" w:type="dxa"/>
          </w:tcPr>
          <w:p w:rsidR="00F10733" w:rsidRPr="001536BF" w:rsidRDefault="00F10733" w:rsidP="00F622A0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ПК-31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обеспечивать безопасность и целостность данных информационных систем и технологий</w:t>
            </w:r>
          </w:p>
        </w:tc>
      </w:tr>
      <w:tr w:rsidR="00F10733" w:rsidRPr="001536BF" w:rsidTr="00F622A0">
        <w:trPr>
          <w:jc w:val="center"/>
        </w:trPr>
        <w:tc>
          <w:tcPr>
            <w:tcW w:w="9421" w:type="dxa"/>
          </w:tcPr>
          <w:p w:rsidR="00F10733" w:rsidRPr="001536BF" w:rsidRDefault="00F10733" w:rsidP="00F622A0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функционирования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>ения промышленных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>ых методами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430AD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B3673" w:rsidP="002F28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 w:rsidR="00C910F4">
              <w:rPr>
                <w:b/>
                <w:bCs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3B36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B3673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C910F4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B3673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C910F4" w:rsidP="00332B34">
            <w:pPr>
              <w:snapToGrid w:val="0"/>
              <w:jc w:val="center"/>
            </w:pPr>
            <w:r>
              <w:t>55.45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lastRenderedPageBreak/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r>
              <w:rPr>
                <w:bCs/>
              </w:rPr>
              <w:t>Windows-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>
              <w:rPr>
                <w:iCs/>
              </w:rPr>
              <w:t>Windows NT - многонит</w:t>
            </w:r>
            <w:r w:rsidRPr="006B0829">
              <w:rPr>
                <w:iCs/>
              </w:rPr>
              <w:t>евая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межпроцессной коммуникации. ActiveX-объекты.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>, групповое управление, посылка данных в глобальный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9"/>
        <w:gridCol w:w="417"/>
        <w:gridCol w:w="414"/>
        <w:gridCol w:w="500"/>
        <w:gridCol w:w="304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23"/>
        <w:gridCol w:w="307"/>
        <w:gridCol w:w="542"/>
        <w:gridCol w:w="406"/>
        <w:gridCol w:w="413"/>
        <w:gridCol w:w="400"/>
        <w:gridCol w:w="434"/>
        <w:gridCol w:w="413"/>
        <w:gridCol w:w="391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36BEC" w:rsidRPr="003C3315" w:rsidTr="004F667A">
        <w:trPr>
          <w:trHeight w:val="495"/>
          <w:jc w:val="center"/>
        </w:trPr>
        <w:tc>
          <w:tcPr>
            <w:tcW w:w="113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4F667A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4F667A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Р1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E347E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Р2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5111CE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936BEC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E347E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r w:rsidRPr="00A611C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Windows-технологии в SCADA-системах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A611C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A611C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Р6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1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622474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622474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4F667A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543B8A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40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543B8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E347EB" w:rsidRDefault="006C375F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r>
              <w:rPr>
                <w:lang w:val="en-US"/>
              </w:rPr>
              <w:t>TraceMode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r>
              <w:rPr>
                <w:lang w:val="en-US"/>
              </w:rPr>
              <w:t>OpenSCADA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163151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</w:t>
            </w:r>
            <w:r w:rsidR="00163151">
              <w:t>2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>Windows-технологии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распределённых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Титовцев – Казань :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E01534">
        <w:rPr>
          <w:szCs w:val="28"/>
        </w:rPr>
        <w:t>Пьявченко Т</w:t>
      </w:r>
      <w:r>
        <w:rPr>
          <w:szCs w:val="28"/>
        </w:rPr>
        <w:t xml:space="preserve">. </w:t>
      </w:r>
      <w:r w:rsidRPr="00E01534">
        <w:rPr>
          <w:szCs w:val="28"/>
        </w:rPr>
        <w:t>Автоматизированные информационно-управляющие системы с применением SCADA-системы Trace Mode</w:t>
      </w:r>
      <w:r>
        <w:rPr>
          <w:szCs w:val="28"/>
        </w:rPr>
        <w:t xml:space="preserve"> / Т.А. Пьявченко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 :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>Андреев Е.Б. SCADA-системы: взгляд изнутри / Е.Б. Андреев, Н.А. Куцевич, О. В. Синенко – М.: Издательство «РТСофт»,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r w:rsidRPr="005B1855">
        <w:rPr>
          <w:szCs w:val="28"/>
        </w:rPr>
        <w:t>Харазов В.Г. Интегрированные системы управления технологическими процессами / В.Г. Харазов – СпБ: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>ОС Windows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TraceMode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InTouch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OpenSCADA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2224AB" w:rsidP="00C152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C15287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2E32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</w:t>
            </w:r>
            <w:r w:rsidR="00C15287"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6F597A">
              <w:t>Зачёт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C152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1-</w:t>
            </w:r>
            <w:r w:rsidR="00C15287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3E5E3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</w:t>
            </w:r>
            <w:r w:rsidR="00C15287">
              <w:rPr>
                <w:lang w:val="en-US"/>
              </w:rP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C152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</w:t>
            </w:r>
            <w:r w:rsidR="00C15287">
              <w:rPr>
                <w:lang w:val="en-US"/>
              </w:rP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  <w:r w:rsidR="002224AB">
              <w:rPr>
                <w:iCs/>
                <w:sz w:val="20"/>
                <w:szCs w:val="20"/>
                <w:lang w:val="en-US"/>
              </w:rPr>
              <w:t>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541781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80481C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A233B2" w:rsidRPr="009F44FB" w:rsidRDefault="00A233B2" w:rsidP="00A233B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A233B2" w:rsidRPr="00530E93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Методы межпроцессной коммуникации. ActiveX-объекты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разработка человека-машинного интерфейса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Понятие события. Понятие аларма. Основные виды алармов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A233B2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A233B2" w:rsidRPr="0089398B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lastRenderedPageBreak/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E5E38"/>
    <w:rsid w:val="00402E08"/>
    <w:rsid w:val="00404A1E"/>
    <w:rsid w:val="00410CCF"/>
    <w:rsid w:val="00426591"/>
    <w:rsid w:val="00430AD5"/>
    <w:rsid w:val="0044233A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E57AE"/>
    <w:rsid w:val="005F62EF"/>
    <w:rsid w:val="00612B96"/>
    <w:rsid w:val="00622474"/>
    <w:rsid w:val="00623A95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C375F"/>
    <w:rsid w:val="006F3BEB"/>
    <w:rsid w:val="006F597A"/>
    <w:rsid w:val="00705705"/>
    <w:rsid w:val="00737557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81C"/>
    <w:rsid w:val="00804B1C"/>
    <w:rsid w:val="008066A4"/>
    <w:rsid w:val="00817297"/>
    <w:rsid w:val="00824CD1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233B2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15287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910F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CB26A-6EEC-489B-AED5-22F8F804D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280</TotalTime>
  <Pages>14</Pages>
  <Words>3350</Words>
  <Characters>19099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184</cp:revision>
  <cp:lastPrinted>1900-12-31T19:00:00Z</cp:lastPrinted>
  <dcterms:created xsi:type="dcterms:W3CDTF">2016-12-09T08:02:00Z</dcterms:created>
  <dcterms:modified xsi:type="dcterms:W3CDTF">2017-05-04T10:42:00Z</dcterms:modified>
</cp:coreProperties>
</file>