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DF797B" w:rsidRDefault="003758D9">
      <w:pPr>
        <w:jc w:val="center"/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F6AA5">
      <w:pPr>
        <w:jc w:val="center"/>
        <w:rPr>
          <w:caps/>
        </w:rPr>
      </w:pPr>
      <w:r w:rsidRPr="003F6AA5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F66B8F">
              <w:t>8</w:t>
            </w:r>
          </w:p>
          <w:p w:rsidR="003F6AA5" w:rsidRPr="00F22E37" w:rsidRDefault="003F6AA5" w:rsidP="00110E35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F6AA5" w:rsidRPr="009F4598" w:rsidRDefault="003F6AA5" w:rsidP="00110E35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F6AA5" w:rsidRPr="004C3174" w:rsidRDefault="00F66B8F" w:rsidP="00110E35">
            <w:r w:rsidRPr="00F66B8F">
              <w:rPr>
                <w:lang w:eastAsia="ru-RU"/>
              </w:rPr>
              <w:t>1132342</w:t>
            </w:r>
          </w:p>
        </w:tc>
      </w:tr>
      <w:tr w:rsidR="00542B8D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542B8D" w:rsidRDefault="00542B8D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542B8D" w:rsidRPr="00F22E37" w:rsidRDefault="00542B8D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542B8D" w:rsidRPr="00D84580" w:rsidRDefault="00542B8D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542B8D" w:rsidRPr="00F22E37" w:rsidRDefault="00542B8D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542B8D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42B8D" w:rsidRDefault="00542B8D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42B8D" w:rsidRPr="00F22E37" w:rsidRDefault="00542B8D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42B8D" w:rsidRDefault="00542B8D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42B8D" w:rsidRDefault="00542B8D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42B8D" w:rsidRPr="00AC0130" w:rsidRDefault="00542B8D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542B8D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42B8D" w:rsidRDefault="00542B8D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42B8D" w:rsidRPr="00976E90" w:rsidRDefault="00542B8D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542B8D" w:rsidRPr="009F4598" w:rsidRDefault="00542B8D" w:rsidP="007A18CD"/>
        </w:tc>
      </w:tr>
      <w:tr w:rsidR="00542B8D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42B8D" w:rsidRPr="008F33BC" w:rsidRDefault="00542B8D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42B8D" w:rsidRDefault="00542B8D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542B8D" w:rsidRPr="00636E97" w:rsidRDefault="00542B8D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797B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C571CA">
      <w:pPr>
        <w:pStyle w:val="4"/>
        <w:pageBreakBefore/>
        <w:ind w:left="714" w:hanging="357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72848" w:rsidRPr="00F72848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544330" w:rsidRPr="00544330" w:rsidRDefault="00E02DE1" w:rsidP="00544330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образовательной программы. </w:t>
      </w:r>
      <w:r w:rsidR="00544330" w:rsidRPr="00544330">
        <w:rPr>
          <w:color w:val="auto"/>
          <w:lang w:eastAsia="en-US"/>
        </w:rPr>
        <w:t>Модуль включ</w:t>
      </w:r>
      <w:r w:rsidR="00544330">
        <w:rPr>
          <w:color w:val="auto"/>
          <w:lang w:eastAsia="en-US"/>
        </w:rPr>
        <w:t>ает дисциплины, которые формирую</w:t>
      </w:r>
      <w:r w:rsidR="00544330"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 w:rsidR="00544330">
        <w:rPr>
          <w:color w:val="auto"/>
          <w:lang w:eastAsia="en-US"/>
        </w:rPr>
        <w:t>работке, сопровождении и эксплу</w:t>
      </w:r>
      <w:r w:rsidR="00544330"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C34C14" w:rsidRPr="00A10A04" w:rsidRDefault="00203BF5" w:rsidP="00544330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модуля изучаются д</w:t>
      </w:r>
      <w:r w:rsidR="00544330" w:rsidRPr="00544330">
        <w:rPr>
          <w:color w:val="auto"/>
          <w:lang w:eastAsia="en-US"/>
        </w:rPr>
        <w:t>исциплины</w:t>
      </w:r>
      <w:r>
        <w:rPr>
          <w:color w:val="auto"/>
          <w:lang w:eastAsia="en-US"/>
        </w:rPr>
        <w:t>,</w:t>
      </w:r>
      <w:r w:rsidR="00544330" w:rsidRPr="00544330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посвящён</w:t>
      </w:r>
      <w:r w:rsidR="00544330" w:rsidRPr="00544330">
        <w:rPr>
          <w:color w:val="auto"/>
          <w:lang w:eastAsia="en-US"/>
        </w:rPr>
        <w:t>ны</w:t>
      </w:r>
      <w:r>
        <w:rPr>
          <w:color w:val="auto"/>
          <w:lang w:eastAsia="en-US"/>
        </w:rPr>
        <w:t>е</w:t>
      </w:r>
      <w:r w:rsidR="00544330" w:rsidRPr="00544330">
        <w:rPr>
          <w:color w:val="auto"/>
          <w:lang w:eastAsia="en-US"/>
        </w:rPr>
        <w:t xml:space="preserve"> изучению методов, предназначенных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4426EB" w:rsidRPr="004426EB">
              <w:rPr>
                <w:color w:val="auto"/>
              </w:rPr>
              <w:t>SCADA-системы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61203" w:rsidP="0094728E">
            <w:pPr>
              <w:snapToGrid w:val="0"/>
              <w:jc w:val="right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8B6E02" w:rsidP="0094728E">
            <w:pPr>
              <w:snapToGrid w:val="0"/>
              <w:jc w:val="right"/>
            </w:pPr>
            <w: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8B6E02" w:rsidP="0094728E">
            <w:pPr>
              <w:snapToGrid w:val="0"/>
              <w:jc w:val="right"/>
            </w:pPr>
            <w: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A82417" w:rsidP="0094728E">
            <w:pPr>
              <w:snapToGrid w:val="0"/>
              <w:jc w:val="right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156FA6" w:rsidRDefault="00BF131E" w:rsidP="0094728E">
            <w:pPr>
              <w:snapToGrid w:val="0"/>
              <w:jc w:val="right"/>
            </w:pPr>
            <w:r>
              <w:t>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BF131E" w:rsidP="003B64B8">
            <w:pPr>
              <w:snapToGrid w:val="0"/>
              <w:jc w:val="right"/>
            </w:pPr>
            <w:r>
              <w:t>56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61203" w:rsidP="00A61203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4426EB">
              <w:t xml:space="preserve"> (</w:t>
            </w:r>
            <w:r>
              <w:t>4</w:t>
            </w:r>
            <w:r w:rsidR="004426EB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A61203" w:rsidRPr="00EE00EB" w:rsidTr="009D7439">
        <w:trPr>
          <w:trHeight w:val="82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1203" w:rsidRPr="00EE00EB" w:rsidRDefault="00A61203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1203" w:rsidRPr="00AA4C5E" w:rsidRDefault="00A61203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4426EB">
              <w:t>Основы автоматизации проектирования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4426EB" w:rsidRDefault="00A61203" w:rsidP="00A61203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8B6E02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A61203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AA4C5E" w:rsidRDefault="008B6E02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BF131E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BF131E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A61203" w:rsidP="001B3780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A61203" w:rsidP="00A61203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1203" w:rsidRPr="00AA4C5E" w:rsidRDefault="00A61203" w:rsidP="0094728E">
            <w:pPr>
              <w:snapToGrid w:val="0"/>
              <w:jc w:val="right"/>
            </w:pPr>
            <w:r>
              <w:t>3</w:t>
            </w:r>
          </w:p>
        </w:tc>
      </w:tr>
      <w:tr w:rsidR="00A61203" w:rsidRPr="00EE00EB" w:rsidTr="009D7439">
        <w:trPr>
          <w:trHeight w:val="82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1203" w:rsidRPr="00EE00EB" w:rsidRDefault="00A61203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1203" w:rsidRPr="009B158A" w:rsidRDefault="00A61203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A61203">
              <w:t>Основы теории автоматического управления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A61203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8B6E02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Pr="00EE00EB" w:rsidRDefault="008B6E02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A61203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BF131E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BF131E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A61203" w:rsidP="002D70D7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61203" w:rsidRDefault="00A61203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1203" w:rsidRDefault="00A61203" w:rsidP="004426EB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8B6E02" w:rsidP="0094728E">
            <w:pPr>
              <w:snapToGrid w:val="0"/>
              <w:jc w:val="right"/>
            </w:pPr>
            <w: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8B6E02" w:rsidP="0094728E">
            <w:pPr>
              <w:snapToGrid w:val="0"/>
              <w:jc w:val="right"/>
            </w:pPr>
            <w:r>
              <w:t>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8B6E02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BF131E" w:rsidRDefault="00BF131E" w:rsidP="0094728E">
            <w:pPr>
              <w:snapToGrid w:val="0"/>
              <w:jc w:val="right"/>
            </w:pPr>
            <w:r>
              <w:rPr>
                <w:lang w:val="en-US"/>
              </w:rPr>
              <w:t>1</w:t>
            </w:r>
            <w: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BF131E" w:rsidP="0091152D">
            <w:pPr>
              <w:snapToGrid w:val="0"/>
              <w:jc w:val="right"/>
            </w:pPr>
            <w:r>
              <w:t>154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61203" w:rsidP="0094728E">
            <w:pPr>
              <w:snapToGrid w:val="0"/>
              <w:jc w:val="right"/>
            </w:pPr>
            <w:r>
              <w:t>40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BF131E">
            <w:pPr>
              <w:jc w:val="center"/>
              <w:rPr>
                <w:rFonts w:eastAsia="Calibri"/>
              </w:rPr>
            </w:pP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</w:tc>
        <w:tc>
          <w:tcPr>
            <w:tcW w:w="3827" w:type="dxa"/>
          </w:tcPr>
          <w:p w:rsidR="00A82417" w:rsidRPr="00EE00EB" w:rsidRDefault="001536BF" w:rsidP="00974817">
            <w:pPr>
              <w:rPr>
                <w:rFonts w:eastAsia="Calibri"/>
              </w:rPr>
            </w:pPr>
            <w:r w:rsidRPr="001536BF">
              <w:rPr>
                <w:b/>
                <w:iCs/>
                <w:spacing w:val="-1"/>
                <w:lang w:eastAsia="ru-RU"/>
              </w:rPr>
              <w:t>РО-В-2</w:t>
            </w:r>
            <w:r w:rsidR="00A82417">
              <w:rPr>
                <w:rFonts w:eastAsia="Calibri"/>
              </w:rPr>
              <w:t xml:space="preserve">: </w:t>
            </w:r>
            <w:r w:rsidRPr="001536BF">
              <w:t>Способность принимать участие в разработке, сопровождении и эксплуатации систем управления технологическими процессами, осуществлять поддержку программно-аппаратной среды функционирования информационных систем и защиту информации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4A22FA" w:rsidRDefault="004A22FA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4</w:t>
            </w:r>
          </w:p>
          <w:p w:rsidR="004A22FA" w:rsidRDefault="004A22FA" w:rsidP="004A22FA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</w:t>
            </w:r>
            <w:r w:rsidR="00634676">
              <w:rPr>
                <w:lang w:eastAsia="ru-RU"/>
              </w:rPr>
              <w:t>5</w:t>
            </w:r>
          </w:p>
          <w:p w:rsidR="00A82417" w:rsidRDefault="00634676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ПК-17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  <w:r w:rsidR="00634676">
              <w:rPr>
                <w:lang w:eastAsia="ru-RU"/>
              </w:rPr>
              <w:t>0</w:t>
            </w:r>
          </w:p>
          <w:p w:rsidR="00634676" w:rsidRDefault="00634676" w:rsidP="0063467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ПК-3</w:t>
            </w:r>
            <w:r>
              <w:rPr>
                <w:lang w:eastAsia="ru-RU"/>
              </w:rPr>
              <w:t>1</w:t>
            </w:r>
          </w:p>
          <w:p w:rsidR="003A74BB" w:rsidRPr="003250B4" w:rsidRDefault="00634676" w:rsidP="0063467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ПК-3</w:t>
            </w:r>
            <w:r>
              <w:rPr>
                <w:lang w:eastAsia="ru-RU"/>
              </w:rPr>
              <w:t>2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A82417" w:rsidRPr="00A82417" w:rsidTr="007D1F6F">
        <w:trPr>
          <w:jc w:val="center"/>
        </w:trPr>
        <w:tc>
          <w:tcPr>
            <w:tcW w:w="9421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1536BF" w:rsidP="00CD2B4C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1536BF">
              <w:rPr>
                <w:lang w:eastAsia="ru-RU"/>
              </w:rPr>
              <w:t>а</w:t>
            </w:r>
            <w:r w:rsidRPr="001536BF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1536BF" w:rsidP="00CD2B4C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Pr="001536BF">
              <w:rPr>
                <w:lang w:eastAsia="ru-RU"/>
              </w:rPr>
              <w:t>н</w:t>
            </w:r>
            <w:r w:rsidRPr="001536BF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Pr="001536BF">
              <w:rPr>
                <w:lang w:eastAsia="ru-RU"/>
              </w:rPr>
              <w:t>и</w:t>
            </w:r>
            <w:r w:rsidRPr="001536BF">
              <w:rPr>
                <w:lang w:eastAsia="ru-RU"/>
              </w:rPr>
              <w:t>стем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1536BF" w:rsidP="00CD2B4C">
            <w:pPr>
              <w:jc w:val="both"/>
              <w:rPr>
                <w:lang w:eastAsia="ru-RU"/>
              </w:rPr>
            </w:pPr>
            <w:proofErr w:type="gramStart"/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</w:t>
            </w:r>
            <w:r w:rsidRPr="001536BF">
              <w:rPr>
                <w:lang w:eastAsia="ru-RU"/>
              </w:rPr>
              <w:t>и</w:t>
            </w:r>
            <w:r w:rsidRPr="001536BF">
              <w:rPr>
                <w:lang w:eastAsia="ru-RU"/>
              </w:rPr>
              <w:t>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</w:t>
            </w:r>
            <w:r w:rsidRPr="001536BF">
              <w:rPr>
                <w:lang w:eastAsia="ru-RU"/>
              </w:rPr>
              <w:t>ь</w:t>
            </w:r>
            <w:r w:rsidRPr="001536BF">
              <w:rPr>
                <w:lang w:eastAsia="ru-RU"/>
              </w:rPr>
              <w:t>ство, коммерция, менеджмент, банковские системы, безопасность информ</w:t>
            </w:r>
            <w:r w:rsidRPr="001536BF">
              <w:rPr>
                <w:lang w:eastAsia="ru-RU"/>
              </w:rPr>
              <w:t>а</w:t>
            </w:r>
            <w:r w:rsidRPr="001536BF">
              <w:rPr>
                <w:lang w:eastAsia="ru-RU"/>
              </w:rPr>
              <w:t>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>ника, техническая физика, энергетика, ядерная энергетика, силовая электроника, металлургия, строительство, тран</w:t>
            </w:r>
            <w:r w:rsidRPr="001536BF">
              <w:rPr>
                <w:lang w:eastAsia="ru-RU"/>
              </w:rPr>
              <w:t>с</w:t>
            </w:r>
            <w:r w:rsidRPr="001536BF">
              <w:rPr>
                <w:lang w:eastAsia="ru-RU"/>
              </w:rPr>
              <w:t xml:space="preserve">порт, железнодорожный транспорт, связь, телекоммуникации, управление </w:t>
            </w:r>
            <w:proofErr w:type="spellStart"/>
            <w:r w:rsidRPr="001536BF">
              <w:rPr>
                <w:lang w:eastAsia="ru-RU"/>
              </w:rPr>
              <w:t>инфокоммуникациями</w:t>
            </w:r>
            <w:proofErr w:type="spellEnd"/>
            <w:r w:rsidRPr="001536BF">
              <w:rPr>
                <w:lang w:eastAsia="ru-RU"/>
              </w:rPr>
              <w:t>, почтовая связь, химическая промышленность, сельское хозяйство, текстильная и ле</w:t>
            </w:r>
            <w:r w:rsidRPr="001536BF">
              <w:rPr>
                <w:lang w:eastAsia="ru-RU"/>
              </w:rPr>
              <w:t>г</w:t>
            </w:r>
            <w:r w:rsidRPr="001536BF">
              <w:rPr>
                <w:lang w:eastAsia="ru-RU"/>
              </w:rPr>
              <w:t>кая промышленность, пищевая промышленность, медицинские</w:t>
            </w:r>
            <w:proofErr w:type="gramEnd"/>
            <w:r w:rsidRPr="001536BF">
              <w:rPr>
                <w:lang w:eastAsia="ru-RU"/>
              </w:rPr>
              <w:t xml:space="preserve"> и биоте</w:t>
            </w:r>
            <w:r w:rsidRPr="001536BF">
              <w:rPr>
                <w:lang w:eastAsia="ru-RU"/>
              </w:rPr>
              <w:t>х</w:t>
            </w:r>
            <w:r w:rsidRPr="001536BF">
              <w:rPr>
                <w:lang w:eastAsia="ru-RU"/>
              </w:rPr>
              <w:t>нологии, горное дело, обеспечение безопасности подземных предприятий и производств, геология, нефтегазовая отрасль, геодезия и картография, ге</w:t>
            </w:r>
            <w:r w:rsidRPr="001536BF">
              <w:rPr>
                <w:lang w:eastAsia="ru-RU"/>
              </w:rPr>
              <w:t>о</w:t>
            </w:r>
            <w:r w:rsidRPr="001536BF">
              <w:rPr>
                <w:lang w:eastAsia="ru-RU"/>
              </w:rPr>
              <w:t xml:space="preserve">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Pr="001536BF">
              <w:rPr>
                <w:lang w:eastAsia="ru-RU"/>
              </w:rPr>
              <w:t>медиаиндустрия</w:t>
            </w:r>
            <w:proofErr w:type="spellEnd"/>
            <w:r w:rsidRPr="001536BF">
              <w:rPr>
                <w:lang w:eastAsia="ru-RU"/>
              </w:rPr>
              <w:t>, а также предприятия разли</w:t>
            </w:r>
            <w:r w:rsidRPr="001536BF">
              <w:rPr>
                <w:lang w:eastAsia="ru-RU"/>
              </w:rPr>
              <w:t>ч</w:t>
            </w:r>
            <w:r w:rsidRPr="001536BF">
              <w:rPr>
                <w:lang w:eastAsia="ru-RU"/>
              </w:rPr>
              <w:t>ного профиля и все виды деятельности в условиях экономики информацио</w:t>
            </w:r>
            <w:r w:rsidRPr="001536BF">
              <w:rPr>
                <w:lang w:eastAsia="ru-RU"/>
              </w:rPr>
              <w:t>н</w:t>
            </w:r>
            <w:r w:rsidRPr="001536BF">
              <w:rPr>
                <w:lang w:eastAsia="ru-RU"/>
              </w:rPr>
              <w:t>ного общества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CD2B4C" w:rsidP="00CD2B4C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ПК-30</w:t>
            </w:r>
            <w:r>
              <w:rPr>
                <w:lang w:eastAsia="ru-RU"/>
              </w:rPr>
              <w:t xml:space="preserve">: </w:t>
            </w:r>
            <w:r w:rsidR="001536BF" w:rsidRPr="001536BF">
              <w:rPr>
                <w:lang w:eastAsia="ru-RU"/>
              </w:rPr>
              <w:t>способность поддерживать работоспособность информационных систем и технологий в заданных функциональных характеристиках и соответствии кр</w:t>
            </w:r>
            <w:r w:rsidR="001536BF" w:rsidRPr="001536BF">
              <w:rPr>
                <w:lang w:eastAsia="ru-RU"/>
              </w:rPr>
              <w:t>и</w:t>
            </w:r>
            <w:r>
              <w:rPr>
                <w:lang w:eastAsia="ru-RU"/>
              </w:rPr>
              <w:t>териям качества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CD2B4C" w:rsidP="00CD2B4C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ПК-31</w:t>
            </w:r>
            <w:r>
              <w:rPr>
                <w:lang w:eastAsia="ru-RU"/>
              </w:rPr>
              <w:t xml:space="preserve">: </w:t>
            </w:r>
            <w:r w:rsidR="001536BF" w:rsidRPr="001536BF">
              <w:rPr>
                <w:lang w:eastAsia="ru-RU"/>
              </w:rPr>
              <w:t>способность обеспечивать безопасность и целостность данных информационных систем и технол</w:t>
            </w:r>
            <w:r w:rsidR="001536BF" w:rsidRPr="001536BF">
              <w:rPr>
                <w:lang w:eastAsia="ru-RU"/>
              </w:rPr>
              <w:t>о</w:t>
            </w:r>
            <w:r w:rsidR="001536BF" w:rsidRPr="001536BF">
              <w:rPr>
                <w:lang w:eastAsia="ru-RU"/>
              </w:rPr>
              <w:t>гий</w:t>
            </w:r>
          </w:p>
        </w:tc>
      </w:tr>
      <w:tr w:rsidR="001536BF" w:rsidRPr="001536BF" w:rsidTr="007D1F6F">
        <w:trPr>
          <w:jc w:val="center"/>
        </w:trPr>
        <w:tc>
          <w:tcPr>
            <w:tcW w:w="9421" w:type="dxa"/>
          </w:tcPr>
          <w:p w:rsidR="001536BF" w:rsidRPr="001536BF" w:rsidRDefault="00CD2B4C" w:rsidP="00CD2B4C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1536BF" w:rsidRPr="001536BF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="001536BF" w:rsidRPr="001536BF">
              <w:rPr>
                <w:lang w:eastAsia="ru-RU"/>
              </w:rPr>
              <w:t>к</w:t>
            </w:r>
            <w:r w:rsidR="001536BF" w:rsidRPr="001536BF">
              <w:rPr>
                <w:lang w:eastAsia="ru-RU"/>
              </w:rPr>
              <w:t>ционирования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4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425"/>
        <w:gridCol w:w="510"/>
        <w:gridCol w:w="429"/>
        <w:gridCol w:w="429"/>
        <w:gridCol w:w="429"/>
        <w:gridCol w:w="429"/>
        <w:gridCol w:w="429"/>
      </w:tblGrid>
      <w:tr w:rsidR="008E3F2C" w:rsidRPr="00EE00EB" w:rsidTr="008E3F2C">
        <w:trPr>
          <w:trHeight w:val="985"/>
        </w:trPr>
        <w:tc>
          <w:tcPr>
            <w:tcW w:w="6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F2C" w:rsidRPr="00EE00EB" w:rsidRDefault="008E3F2C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Pr="003C7EDD" w:rsidRDefault="008E3F2C" w:rsidP="00BB4FCF">
            <w:pPr>
              <w:ind w:left="113" w:right="113"/>
              <w:rPr>
                <w:lang w:val="en-US"/>
              </w:rPr>
            </w:pPr>
            <w:r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Pr="008E3F2C" w:rsidRDefault="008E3F2C" w:rsidP="00BB4FCF">
            <w:pPr>
              <w:ind w:left="113" w:right="113"/>
            </w:pPr>
            <w:r>
              <w:t>ПК-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Pr="003C7EDD" w:rsidRDefault="008E3F2C" w:rsidP="00BB4FCF">
            <w:pPr>
              <w:ind w:left="113" w:right="113"/>
              <w:rPr>
                <w:lang w:val="en-US"/>
              </w:rPr>
            </w:pPr>
            <w:r>
              <w:t>ПК-17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Pr="0087522D" w:rsidRDefault="008E3F2C" w:rsidP="00BB4FCF">
            <w:pPr>
              <w:ind w:left="113" w:right="113"/>
            </w:pPr>
            <w:r>
              <w:t>ПК-30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Default="008E3F2C" w:rsidP="00D974A6">
            <w:pPr>
              <w:ind w:left="113" w:right="113"/>
            </w:pPr>
            <w:r>
              <w:t>ПК-31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E3F2C" w:rsidRDefault="008E3F2C" w:rsidP="00D974A6">
            <w:pPr>
              <w:ind w:left="113" w:right="113"/>
            </w:pPr>
            <w:r>
              <w:t>ПК-32</w:t>
            </w:r>
          </w:p>
        </w:tc>
      </w:tr>
      <w:tr w:rsidR="008E3F2C" w:rsidRPr="00EE00EB" w:rsidTr="008E3F2C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EE00EB" w:rsidRDefault="008E3F2C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34748E" w:rsidRDefault="008E3F2C" w:rsidP="0034748E">
            <w:pPr>
              <w:rPr>
                <w:color w:val="auto"/>
              </w:rPr>
            </w:pPr>
            <w:r w:rsidRPr="004426EB">
              <w:rPr>
                <w:color w:val="auto"/>
              </w:rPr>
              <w:t>SCADA-системы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335DA8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AE3D96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7D1F6F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E3F2C" w:rsidRPr="00EE00EB" w:rsidTr="008E3F2C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EE00EB" w:rsidRDefault="008E3F2C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AA4C5E" w:rsidRDefault="008E3F2C" w:rsidP="00D65114">
            <w:r w:rsidRPr="004426EB">
              <w:t>Основы автоматизации проектирования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C86524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C8652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</w:tr>
      <w:tr w:rsidR="008E3F2C" w:rsidRPr="00EE00EB" w:rsidTr="008E3F2C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EE00EB" w:rsidRDefault="008E3F2C" w:rsidP="00D974A6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F2C" w:rsidRPr="004426EB" w:rsidRDefault="008E3F2C" w:rsidP="00D65114">
            <w:r w:rsidRPr="00A61203">
              <w:t>Основы теории автоматического управления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Pr="000A32F4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8E3F2C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F2C" w:rsidRDefault="007D1F6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CD2B4C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0EF" w:rsidRDefault="00C340EF">
      <w:r>
        <w:separator/>
      </w:r>
    </w:p>
  </w:endnote>
  <w:endnote w:type="continuationSeparator" w:id="0">
    <w:p w:rsidR="00C340EF" w:rsidRDefault="00C3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0EF" w:rsidRDefault="00C340EF">
      <w:r>
        <w:separator/>
      </w:r>
    </w:p>
  </w:footnote>
  <w:footnote w:type="continuationSeparator" w:id="0">
    <w:p w:rsidR="00C340EF" w:rsidRDefault="00C3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536BF"/>
    <w:rsid w:val="00156FA6"/>
    <w:rsid w:val="0016443D"/>
    <w:rsid w:val="001648AA"/>
    <w:rsid w:val="00181A49"/>
    <w:rsid w:val="00194BE6"/>
    <w:rsid w:val="001968DF"/>
    <w:rsid w:val="00196BFE"/>
    <w:rsid w:val="001A23F5"/>
    <w:rsid w:val="001B0249"/>
    <w:rsid w:val="001B2DE3"/>
    <w:rsid w:val="001B3780"/>
    <w:rsid w:val="001B7596"/>
    <w:rsid w:val="001C6DF2"/>
    <w:rsid w:val="001D79ED"/>
    <w:rsid w:val="001F0109"/>
    <w:rsid w:val="00203BF5"/>
    <w:rsid w:val="002142F5"/>
    <w:rsid w:val="00224F42"/>
    <w:rsid w:val="00225CC2"/>
    <w:rsid w:val="00226643"/>
    <w:rsid w:val="00272036"/>
    <w:rsid w:val="002835CB"/>
    <w:rsid w:val="002874B0"/>
    <w:rsid w:val="0029097D"/>
    <w:rsid w:val="002935B3"/>
    <w:rsid w:val="002A0B8E"/>
    <w:rsid w:val="002B2D98"/>
    <w:rsid w:val="002B7DA0"/>
    <w:rsid w:val="002C5645"/>
    <w:rsid w:val="002D02EC"/>
    <w:rsid w:val="002D70D7"/>
    <w:rsid w:val="002F611C"/>
    <w:rsid w:val="00300320"/>
    <w:rsid w:val="003124CE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3F6AA5"/>
    <w:rsid w:val="0040075F"/>
    <w:rsid w:val="00403E3A"/>
    <w:rsid w:val="00405BE9"/>
    <w:rsid w:val="004131D8"/>
    <w:rsid w:val="00414CAD"/>
    <w:rsid w:val="00415474"/>
    <w:rsid w:val="004344E7"/>
    <w:rsid w:val="004426EB"/>
    <w:rsid w:val="0045637B"/>
    <w:rsid w:val="004635EB"/>
    <w:rsid w:val="00465522"/>
    <w:rsid w:val="00474E19"/>
    <w:rsid w:val="00477390"/>
    <w:rsid w:val="00490678"/>
    <w:rsid w:val="004A0D04"/>
    <w:rsid w:val="004A1A4C"/>
    <w:rsid w:val="004A22FA"/>
    <w:rsid w:val="004A6CC0"/>
    <w:rsid w:val="004A7D4B"/>
    <w:rsid w:val="004B7394"/>
    <w:rsid w:val="004D7355"/>
    <w:rsid w:val="004E1E98"/>
    <w:rsid w:val="004E21E6"/>
    <w:rsid w:val="00501E0A"/>
    <w:rsid w:val="00537D69"/>
    <w:rsid w:val="00542B8D"/>
    <w:rsid w:val="00544330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4676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379D"/>
    <w:rsid w:val="007342A1"/>
    <w:rsid w:val="00741077"/>
    <w:rsid w:val="00754C53"/>
    <w:rsid w:val="007A117A"/>
    <w:rsid w:val="007A3CCB"/>
    <w:rsid w:val="007A4181"/>
    <w:rsid w:val="007B2337"/>
    <w:rsid w:val="007C3D4B"/>
    <w:rsid w:val="007D1F6F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522D"/>
    <w:rsid w:val="00876C73"/>
    <w:rsid w:val="00891226"/>
    <w:rsid w:val="00895B6B"/>
    <w:rsid w:val="00896240"/>
    <w:rsid w:val="008A6F05"/>
    <w:rsid w:val="008B03B6"/>
    <w:rsid w:val="008B1AE0"/>
    <w:rsid w:val="008B3EC2"/>
    <w:rsid w:val="008B6E02"/>
    <w:rsid w:val="008C7933"/>
    <w:rsid w:val="008D1693"/>
    <w:rsid w:val="008E3F2C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9F156A"/>
    <w:rsid w:val="00A14951"/>
    <w:rsid w:val="00A22232"/>
    <w:rsid w:val="00A45682"/>
    <w:rsid w:val="00A51B71"/>
    <w:rsid w:val="00A53E3C"/>
    <w:rsid w:val="00A540FB"/>
    <w:rsid w:val="00A56307"/>
    <w:rsid w:val="00A61203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D7360"/>
    <w:rsid w:val="00AE3D96"/>
    <w:rsid w:val="00B1263D"/>
    <w:rsid w:val="00B12FE8"/>
    <w:rsid w:val="00B17A78"/>
    <w:rsid w:val="00B21145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846C5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131E"/>
    <w:rsid w:val="00BF37C6"/>
    <w:rsid w:val="00C276DB"/>
    <w:rsid w:val="00C31ED7"/>
    <w:rsid w:val="00C3238F"/>
    <w:rsid w:val="00C340EF"/>
    <w:rsid w:val="00C34C14"/>
    <w:rsid w:val="00C379EE"/>
    <w:rsid w:val="00C42CB2"/>
    <w:rsid w:val="00C50EAE"/>
    <w:rsid w:val="00C571CA"/>
    <w:rsid w:val="00C84510"/>
    <w:rsid w:val="00C852E5"/>
    <w:rsid w:val="00C86524"/>
    <w:rsid w:val="00C87D33"/>
    <w:rsid w:val="00C929D7"/>
    <w:rsid w:val="00CA715B"/>
    <w:rsid w:val="00CB158A"/>
    <w:rsid w:val="00CC47EF"/>
    <w:rsid w:val="00CD2B4C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DF797B"/>
    <w:rsid w:val="00E02DE1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66B8F"/>
    <w:rsid w:val="00F72848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6C8E0-6D1E-429A-B4BB-293A6419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138</cp:revision>
  <cp:lastPrinted>2013-04-29T06:42:00Z</cp:lastPrinted>
  <dcterms:created xsi:type="dcterms:W3CDTF">2016-12-09T08:28:00Z</dcterms:created>
  <dcterms:modified xsi:type="dcterms:W3CDTF">2017-05-04T10:23:00Z</dcterms:modified>
</cp:coreProperties>
</file>