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r w:rsidR="00037671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B5109F" w:rsidRPr="006410E5" w:rsidRDefault="00B5109F" w:rsidP="00B5109F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B5109F" w:rsidRPr="006410E5" w:rsidTr="00D4202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5109F" w:rsidRPr="006410E5" w:rsidTr="00D4202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39194E" w:rsidRDefault="002F5F71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39194E" w:rsidRDefault="002F5F71" w:rsidP="00D42028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2F5F71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734E80" w:rsidRDefault="002F5F71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B5109F">
              <w:rPr>
                <w:b/>
                <w:bCs/>
              </w:rPr>
              <w:t>.</w:t>
            </w:r>
            <w:r w:rsidR="00B5109F"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794ED9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4B05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jc w:val="center"/>
              <w:rPr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2F5F71" w:rsidRDefault="002F5F71" w:rsidP="00D42028">
            <w:pPr>
              <w:snapToGrid w:val="0"/>
              <w:jc w:val="center"/>
            </w:pPr>
            <w:r>
              <w:t>18.43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</w:tbl>
    <w:p w:rsidR="00FE2144" w:rsidRDefault="00FE2144" w:rsidP="00FE2144">
      <w:pPr>
        <w:spacing w:line="360" w:lineRule="auto"/>
        <w:ind w:firstLine="720"/>
        <w:jc w:val="both"/>
        <w:rPr>
          <w:bCs/>
          <w:caps/>
        </w:rPr>
      </w:pPr>
    </w:p>
    <w:p w:rsidR="00FE2144" w:rsidRPr="006410E5" w:rsidRDefault="00FE2144" w:rsidP="00E92CD8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lastRenderedPageBreak/>
        <w:t>Зао</w:t>
      </w:r>
      <w:r w:rsidRPr="006410E5">
        <w:rPr>
          <w:iCs/>
        </w:rPr>
        <w:t>чная форма обучения</w:t>
      </w:r>
      <w:r>
        <w:rPr>
          <w:iCs/>
        </w:rPr>
        <w:t xml:space="preserve">, </w:t>
      </w:r>
      <w:r>
        <w:t>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FE2144" w:rsidRPr="006410E5" w:rsidTr="00FE2144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E2144" w:rsidRPr="006410E5" w:rsidTr="00FE2144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39194E" w:rsidRDefault="00E92CD8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39194E" w:rsidRDefault="00FE2144" w:rsidP="00E92CD8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734E80" w:rsidRDefault="00E92CD8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794ED9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4B05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9.23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</w:tbl>
    <w:p w:rsidR="00B5109F" w:rsidRPr="00E10A60" w:rsidRDefault="00B5109F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264F9E" w:rsidRDefault="00D55C88" w:rsidP="00D55C88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264F9E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D55C88" w:rsidRPr="00894889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6E129B" w:rsidRPr="003C3315" w:rsidTr="00D42028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E129B" w:rsidRPr="003C3315" w:rsidRDefault="006E129B" w:rsidP="006E129B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6E129B" w:rsidRPr="003C3315" w:rsidTr="00D42028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E129B" w:rsidRPr="003C3315" w:rsidTr="00D42028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765900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6E129B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E129B" w:rsidRPr="003C3315" w:rsidTr="00D42028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6E129B" w:rsidRPr="003C3315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765900" w:rsidRPr="003C3315">
              <w:rPr>
                <w:sz w:val="16"/>
                <w:szCs w:val="16"/>
              </w:rPr>
              <w:t>по модулю</w:t>
            </w: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5" w:name="_Hlk508027562"/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  <w:bookmarkEnd w:id="15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264F9E" w:rsidRDefault="00F6069A" w:rsidP="00F6069A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264F9E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6" w:name="_Hlk508027579"/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  <w:bookmarkEnd w:id="16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F6069A" w:rsidRPr="00894889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E129B" w:rsidRPr="003C3315" w:rsidTr="00765900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6E129B" w:rsidRPr="00225A53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6E129B" w:rsidRPr="000A2D90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62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6E129B" w:rsidRPr="00E2657E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129B" w:rsidRPr="00936BEC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</w:tr>
    </w:tbl>
    <w:p w:rsidR="00765900" w:rsidRDefault="00765900"/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765900" w:rsidRPr="003C3315" w:rsidTr="00D045E6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5900" w:rsidRPr="00D56D0A" w:rsidRDefault="00765900" w:rsidP="00D045E6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 w:rsidR="00D56D0A"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765900" w:rsidRPr="003C3315" w:rsidTr="00D045E6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5900" w:rsidRPr="003C3315" w:rsidTr="00D045E6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5900" w:rsidRPr="003C3315" w:rsidTr="00D045E6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765900" w:rsidRPr="003C3315" w:rsidRDefault="00765900" w:rsidP="00D045E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264F9E" w:rsidRDefault="00460024" w:rsidP="00460024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264F9E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460024" w:rsidRPr="00894889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765900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65900" w:rsidRPr="00225A53" w:rsidRDefault="00765900" w:rsidP="00D045E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65900" w:rsidRPr="00F6069A" w:rsidRDefault="00460024" w:rsidP="00D045E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765900" w:rsidRPr="000A2D90" w:rsidRDefault="00765900" w:rsidP="00D045E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765900" w:rsidRPr="00F6069A" w:rsidRDefault="00460024" w:rsidP="00D045E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765900" w:rsidRPr="00E2657E" w:rsidRDefault="00765900" w:rsidP="00D045E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65900" w:rsidRPr="00936BEC" w:rsidRDefault="00765900" w:rsidP="00D045E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</w:pPr>
          </w:p>
        </w:tc>
      </w:tr>
    </w:tbl>
    <w:p w:rsidR="00765900" w:rsidRDefault="00765900"/>
    <w:p w:rsidR="00765900" w:rsidRDefault="00765900"/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E30BF9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9F44C5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Очная форма обучения</w:t>
      </w:r>
      <w:r w:rsidR="005B43F1">
        <w:rPr>
          <w:b/>
          <w:iCs/>
        </w:rPr>
        <w:fldChar w:fldCharType="begin"/>
      </w:r>
      <w:r w:rsidR="005B43F1" w:rsidRPr="005B43F1">
        <w:rPr>
          <w:b/>
          <w:iCs/>
        </w:rPr>
        <w:instrText xml:space="preserve"> TC "</w:instrText>
      </w:r>
      <w:bookmarkStart w:id="18" w:name="_Toc463805980"/>
      <w:r w:rsidR="005B43F1" w:rsidRPr="00684EA1">
        <w:rPr>
          <w:b/>
          <w:iCs/>
        </w:rPr>
        <w:instrText>Лабораторные работы</w:instrText>
      </w:r>
      <w:bookmarkEnd w:id="18"/>
      <w:r w:rsidR="005B43F1" w:rsidRPr="005B43F1">
        <w:rPr>
          <w:b/>
          <w:iCs/>
        </w:rPr>
        <w:instrText xml:space="preserve">" \f C \l "2" </w:instrText>
      </w:r>
      <w:r w:rsidR="005B43F1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E30BF9" w:rsidRDefault="00E30BF9" w:rsidP="00E30BF9">
      <w:pPr>
        <w:spacing w:before="60" w:after="60"/>
        <w:ind w:left="964"/>
        <w:jc w:val="center"/>
        <w:rPr>
          <w:iCs/>
        </w:rPr>
      </w:pPr>
    </w:p>
    <w:p w:rsidR="00E30BF9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Зао</w:t>
      </w:r>
      <w:r>
        <w:rPr>
          <w:iCs/>
        </w:rPr>
        <w:t>чная форма обучения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r w:rsidRPr="00684EA1">
        <w:rPr>
          <w:b/>
          <w:iCs/>
        </w:rPr>
        <w:instrText>Лабораторные работы</w:instrText>
      </w:r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30BF9" w:rsidRPr="00641240" w:rsidTr="00D045E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30BF9" w:rsidRPr="00641240" w:rsidRDefault="00E30BF9" w:rsidP="00D045E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30BF9" w:rsidRPr="00641240" w:rsidTr="00D045E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1</w:t>
            </w:r>
          </w:p>
        </w:tc>
      </w:tr>
      <w:tr w:rsidR="00E30BF9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1</w:t>
            </w:r>
          </w:p>
        </w:tc>
      </w:tr>
      <w:tr w:rsidR="00E30BF9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2</w:t>
            </w:r>
          </w:p>
        </w:tc>
      </w:tr>
      <w:tr w:rsidR="00E30BF9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D045E6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60EC9" w:rsidRDefault="00E30BF9" w:rsidP="00D045E6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2</w:t>
            </w:r>
          </w:p>
        </w:tc>
      </w:tr>
      <w:tr w:rsidR="00E30BF9" w:rsidRPr="00641240" w:rsidTr="00D045E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F53B8" w:rsidRDefault="00E30BF9" w:rsidP="00D045E6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snapToGrid w:val="0"/>
              <w:jc w:val="center"/>
            </w:pPr>
            <w:r>
              <w:t>6</w:t>
            </w:r>
          </w:p>
        </w:tc>
      </w:tr>
    </w:tbl>
    <w:p w:rsidR="00034160" w:rsidRDefault="00034160" w:rsidP="00034160">
      <w:pPr>
        <w:spacing w:before="60" w:after="60"/>
        <w:ind w:left="964"/>
        <w:jc w:val="center"/>
        <w:rPr>
          <w:iCs/>
        </w:rPr>
      </w:pPr>
    </w:p>
    <w:p w:rsidR="00034160" w:rsidRPr="00034160" w:rsidRDefault="00034160" w:rsidP="00034160">
      <w:pPr>
        <w:spacing w:before="60" w:after="60"/>
        <w:ind w:left="964"/>
        <w:jc w:val="center"/>
        <w:rPr>
          <w:iCs/>
        </w:rPr>
      </w:pPr>
      <w:r w:rsidRPr="00034160">
        <w:rPr>
          <w:iCs/>
        </w:rPr>
        <w:t>Заочная форма обучения</w:t>
      </w:r>
      <w:r w:rsidRPr="00034160">
        <w:rPr>
          <w:iCs/>
        </w:rPr>
        <w:fldChar w:fldCharType="begin"/>
      </w:r>
      <w:r w:rsidRPr="00034160">
        <w:rPr>
          <w:iCs/>
        </w:rPr>
        <w:instrText xml:space="preserve"> TC "Лабораторные работы" \f C \l "2" </w:instrText>
      </w:r>
      <w:r w:rsidRPr="00034160">
        <w:rPr>
          <w:iCs/>
        </w:rPr>
        <w:fldChar w:fldCharType="end"/>
      </w:r>
      <w:r w:rsidRPr="00034160">
        <w:rPr>
          <w:iCs/>
        </w:rPr>
        <w:t>, уск</w:t>
      </w:r>
      <w:r>
        <w:rPr>
          <w:iCs/>
        </w:rPr>
        <w:t>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34160" w:rsidRPr="00641240" w:rsidTr="00D045E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34160" w:rsidRPr="00641240" w:rsidRDefault="00034160" w:rsidP="00D045E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34160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D045E6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F2530E" w:rsidRDefault="00034160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D045E6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034160" w:rsidP="00D045E6">
            <w:pPr>
              <w:jc w:val="center"/>
            </w:pPr>
            <w:r>
              <w:t>1</w:t>
            </w:r>
          </w:p>
        </w:tc>
      </w:tr>
      <w:tr w:rsidR="00034160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034160" w:rsidP="00D045E6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034160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60EC9" w:rsidRDefault="00034160" w:rsidP="00D045E6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D045E6">
            <w:pPr>
              <w:jc w:val="center"/>
            </w:pPr>
            <w:r>
              <w:t>1</w:t>
            </w:r>
          </w:p>
        </w:tc>
      </w:tr>
      <w:tr w:rsidR="00034160" w:rsidRPr="00641240" w:rsidTr="00D045E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F53B8" w:rsidRDefault="00034160" w:rsidP="00D045E6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D045E6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9" w:name="_Toc463805981"/>
      <w:r w:rsidRPr="00E62585">
        <w:rPr>
          <w:b/>
          <w:iCs/>
        </w:rPr>
        <w:instrText>Практические занятия</w:instrText>
      </w:r>
      <w:bookmarkEnd w:id="1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C320C4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Угрозы безопасности информации и их классификация</w:t>
      </w:r>
    </w:p>
    <w:p w:rsidR="00C320C4" w:rsidRPr="00A30447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Технические возможности нарушителя и средства защиты</w:t>
      </w:r>
    </w:p>
    <w:p w:rsidR="005D3041" w:rsidRPr="00C320C4" w:rsidRDefault="005D3041" w:rsidP="0081529B">
      <w:pPr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1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5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5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6" w:name="_Toc463805989"/>
      <w:r w:rsidRPr="0055545B">
        <w:rPr>
          <w:b/>
          <w:iCs/>
        </w:rPr>
        <w:instrText>Методические разработки</w:instrText>
      </w:r>
      <w:bookmarkEnd w:id="26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7" w:name="_Toc463805990"/>
      <w:r w:rsidRPr="0055545B">
        <w:rPr>
          <w:b/>
          <w:iCs/>
        </w:rPr>
        <w:instrText>Методические разработки</w:instrText>
      </w:r>
      <w:bookmarkEnd w:id="27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8" w:name="_Toc463805991"/>
      <w:r w:rsidR="005415D3" w:rsidRPr="002321A7">
        <w:rPr>
          <w:b/>
          <w:iCs/>
        </w:rPr>
        <w:instrText>Программное обеспечение</w:instrText>
      </w:r>
      <w:bookmarkEnd w:id="28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30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3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lastRenderedPageBreak/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1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2" w:name="_Toc463805995"/>
      <w:r w:rsidR="000767B6" w:rsidRPr="00D16F4C">
        <w:rPr>
          <w:b/>
        </w:rPr>
        <w:instrText>ПРИЛОЖЕНИЕ 1</w:instrText>
      </w:r>
      <w:bookmarkEnd w:id="32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r>
              <w:t>Мини-контрольная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D42028">
            <w:pPr>
              <w:snapToGrid w:val="0"/>
            </w:pPr>
            <w:r>
              <w:t>Мини-контрольная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D42028">
            <w:pPr>
              <w:snapToGrid w:val="0"/>
            </w:pPr>
            <w:r>
              <w:t>Мини-контрольная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6"/>
      <w:r w:rsidR="001D7C68" w:rsidRPr="00992F3E">
        <w:rPr>
          <w:b/>
        </w:rPr>
        <w:instrText>ПРИЛОЖЕНИЕ 2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4" w:name="_Toc463805997"/>
      <w:r w:rsidR="001D7C68" w:rsidRPr="008E0888">
        <w:rPr>
          <w:b/>
        </w:rPr>
        <w:instrText>ПРИЛОЖЕНИЕ 3</w:instrText>
      </w:r>
      <w:bookmarkEnd w:id="3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76958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004B0C">
        <w:rPr>
          <w:b/>
          <w:color w:val="auto"/>
          <w:sz w:val="24"/>
          <w:szCs w:val="24"/>
          <w:lang w:val="ru-RU"/>
        </w:rPr>
        <w:t>домашних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</w:t>
      </w:r>
    </w:p>
    <w:p w:rsidR="00A5220A" w:rsidRPr="004E5947" w:rsidRDefault="00A5220A" w:rsidP="00A5220A">
      <w:pPr>
        <w:pStyle w:val="ab"/>
        <w:ind w:left="255"/>
        <w:rPr>
          <w:color w:val="auto"/>
          <w:sz w:val="24"/>
          <w:szCs w:val="24"/>
        </w:rPr>
      </w:pPr>
      <w:bookmarkStart w:id="35" w:name="_GoBack"/>
      <w:bookmarkEnd w:id="35"/>
    </w:p>
    <w:p w:rsidR="009313AA" w:rsidRPr="009313AA" w:rsidRDefault="009313AA" w:rsidP="009313AA">
      <w:pPr>
        <w:pStyle w:val="ab"/>
        <w:keepNext/>
        <w:keepLines/>
        <w:widowControl/>
        <w:ind w:left="255"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>
        <w:rPr>
          <w:b/>
          <w:color w:val="auto"/>
          <w:sz w:val="24"/>
          <w:szCs w:val="24"/>
          <w:lang w:val="ru-RU"/>
        </w:rPr>
        <w:t>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Средства биометрической аутентификации.</w:t>
      </w:r>
    </w:p>
    <w:p w:rsidR="004E5947" w:rsidRPr="004E5947" w:rsidRDefault="00555476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2B3CB4"/>
    <w:multiLevelType w:val="hybridMultilevel"/>
    <w:tmpl w:val="F7F64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6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7" w15:restartNumberingAfterBreak="0">
    <w:nsid w:val="5F2F66B0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8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4"/>
  </w:num>
  <w:num w:numId="6">
    <w:abstractNumId w:val="34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30"/>
  </w:num>
  <w:num w:numId="14">
    <w:abstractNumId w:val="37"/>
  </w:num>
  <w:num w:numId="15">
    <w:abstractNumId w:val="22"/>
  </w:num>
  <w:num w:numId="16">
    <w:abstractNumId w:val="25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3"/>
  </w:num>
  <w:num w:numId="23">
    <w:abstractNumId w:val="1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5"/>
  </w:num>
  <w:num w:numId="30">
    <w:abstractNumId w:val="31"/>
  </w:num>
  <w:num w:numId="31">
    <w:abstractNumId w:val="2"/>
  </w:num>
  <w:num w:numId="32">
    <w:abstractNumId w:val="21"/>
  </w:num>
  <w:num w:numId="33">
    <w:abstractNumId w:val="32"/>
  </w:num>
  <w:num w:numId="34">
    <w:abstractNumId w:val="28"/>
  </w:num>
  <w:num w:numId="35">
    <w:abstractNumId w:val="29"/>
  </w:num>
  <w:num w:numId="36">
    <w:abstractNumId w:val="20"/>
  </w:num>
  <w:num w:numId="37">
    <w:abstractNumId w:val="36"/>
  </w:num>
  <w:num w:numId="38">
    <w:abstractNumId w:val="23"/>
  </w:num>
  <w:num w:numId="39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4B0C"/>
    <w:rsid w:val="0001076E"/>
    <w:rsid w:val="00014B2D"/>
    <w:rsid w:val="000269DF"/>
    <w:rsid w:val="00034160"/>
    <w:rsid w:val="00037671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51C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5F71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3F7C8E"/>
    <w:rsid w:val="00404A1E"/>
    <w:rsid w:val="00410CCF"/>
    <w:rsid w:val="0044233A"/>
    <w:rsid w:val="00460024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E129B"/>
    <w:rsid w:val="006F3BEB"/>
    <w:rsid w:val="00705705"/>
    <w:rsid w:val="007301F4"/>
    <w:rsid w:val="00733608"/>
    <w:rsid w:val="00734E80"/>
    <w:rsid w:val="00737557"/>
    <w:rsid w:val="00765900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148A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13A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5220A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109F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20C4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42028"/>
    <w:rsid w:val="00D55C88"/>
    <w:rsid w:val="00D56D0A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0BF9"/>
    <w:rsid w:val="00E35A7C"/>
    <w:rsid w:val="00E44163"/>
    <w:rsid w:val="00E651D5"/>
    <w:rsid w:val="00E6578C"/>
    <w:rsid w:val="00E74907"/>
    <w:rsid w:val="00E8525B"/>
    <w:rsid w:val="00E91E5A"/>
    <w:rsid w:val="00E92CD8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069A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E2144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01C854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B3F5D-82A8-4138-954A-D20EA637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308</TotalTime>
  <Pages>17</Pages>
  <Words>4280</Words>
  <Characters>24401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207</cp:revision>
  <cp:lastPrinted>1900-12-31T19:00:00Z</cp:lastPrinted>
  <dcterms:created xsi:type="dcterms:W3CDTF">2016-12-09T08:02:00Z</dcterms:created>
  <dcterms:modified xsi:type="dcterms:W3CDTF">2018-03-05T10:40:00Z</dcterms:modified>
</cp:coreProperties>
</file>